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D9" w:rsidRPr="00F755D9" w:rsidRDefault="00CE393C" w:rsidP="00F755D9">
      <w:pPr>
        <w:tabs>
          <w:tab w:val="left" w:pos="2078"/>
        </w:tabs>
        <w:spacing w:before="240" w:after="0" w:line="360" w:lineRule="auto"/>
        <w:outlineLvl w:val="0"/>
        <w:rPr>
          <w:rFonts w:ascii="Arial" w:eastAsia="Times New Roman" w:hAnsi="Arial" w:cs="Arial"/>
          <w:b/>
          <w:lang w:val="en-GB" w:eastAsia="en-GB"/>
        </w:rPr>
      </w:pPr>
      <w:bookmarkStart w:id="0" w:name="_Toc316877130"/>
      <w:r>
        <w:rPr>
          <w:rFonts w:ascii="Arial" w:eastAsia="Times New Roman" w:hAnsi="Arial" w:cs="Arial"/>
          <w:b/>
          <w:lang w:val="en-GB" w:eastAsia="en-GB"/>
        </w:rPr>
        <w:t>ANNEXURE A</w:t>
      </w:r>
      <w:r w:rsidR="00F755D9" w:rsidRPr="00F755D9">
        <w:rPr>
          <w:rFonts w:ascii="Arial" w:eastAsia="Times New Roman" w:hAnsi="Arial" w:cs="Arial"/>
          <w:b/>
          <w:lang w:val="en-GB" w:eastAsia="en-GB"/>
        </w:rPr>
        <w:t xml:space="preserve"> TRANSFORMATION </w:t>
      </w:r>
      <w:r w:rsidR="00C915BC">
        <w:rPr>
          <w:rFonts w:ascii="Arial" w:eastAsia="Times New Roman" w:hAnsi="Arial" w:cs="Arial"/>
          <w:b/>
          <w:lang w:val="en-GB" w:eastAsia="en-GB"/>
        </w:rPr>
        <w:t xml:space="preserve">IMPROVEMENT </w:t>
      </w:r>
      <w:r w:rsidR="00F755D9" w:rsidRPr="00F755D9">
        <w:rPr>
          <w:rFonts w:ascii="Arial" w:eastAsia="Times New Roman" w:hAnsi="Arial" w:cs="Arial"/>
          <w:b/>
          <w:lang w:val="en-GB" w:eastAsia="en-GB"/>
        </w:rPr>
        <w:t>PLAN</w:t>
      </w:r>
    </w:p>
    <w:p w:rsidR="00F755D9" w:rsidRPr="00F755D9" w:rsidRDefault="00F755D9" w:rsidP="00F755D9">
      <w:pPr>
        <w:tabs>
          <w:tab w:val="left" w:pos="2078"/>
        </w:tabs>
        <w:spacing w:before="240" w:after="0" w:line="360" w:lineRule="auto"/>
        <w:outlineLvl w:val="0"/>
        <w:rPr>
          <w:rFonts w:ascii="Arial" w:eastAsia="Times New Roman" w:hAnsi="Arial" w:cs="Arial"/>
          <w:b/>
          <w:lang w:val="en-GB" w:eastAsia="en-GB"/>
        </w:rPr>
      </w:pPr>
      <w:r>
        <w:rPr>
          <w:rFonts w:ascii="Arial" w:eastAsia="Times New Roman" w:hAnsi="Arial" w:cs="Arial"/>
          <w:b/>
          <w:noProof/>
          <w:lang w:eastAsia="en-ZA"/>
        </w:rPr>
        <w:drawing>
          <wp:anchor distT="0" distB="0" distL="114300" distR="114300" simplePos="0" relativeHeight="251659264" behindDoc="0" locked="0" layoutInCell="0" allowOverlap="1" wp14:anchorId="5AD35780" wp14:editId="78D0A848">
            <wp:simplePos x="0" y="0"/>
            <wp:positionH relativeFrom="column">
              <wp:posOffset>2903855</wp:posOffset>
            </wp:positionH>
            <wp:positionV relativeFrom="paragraph">
              <wp:posOffset>-840740</wp:posOffset>
            </wp:positionV>
            <wp:extent cx="3115945" cy="2182495"/>
            <wp:effectExtent l="0" t="0" r="825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5945" cy="21824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F755D9">
        <w:rPr>
          <w:rFonts w:ascii="Arial" w:eastAsia="Times New Roman" w:hAnsi="Arial" w:cs="Arial"/>
          <w:b/>
          <w:lang w:val="en-GB" w:eastAsia="en-GB"/>
        </w:rPr>
        <w:t>B-BBEE IMPROVEMENT PLAN</w:t>
      </w:r>
    </w:p>
    <w:p w:rsidR="00F755D9" w:rsidRPr="00F755D9" w:rsidRDefault="00F755D9" w:rsidP="00F755D9">
      <w:pPr>
        <w:spacing w:before="60" w:after="0" w:line="360" w:lineRule="auto"/>
        <w:jc w:val="both"/>
        <w:rPr>
          <w:rFonts w:ascii="Arial" w:eastAsia="Times New Roman" w:hAnsi="Arial" w:cs="Arial"/>
          <w:lang w:val="en-US" w:eastAsia="en-GB"/>
        </w:rPr>
      </w:pPr>
    </w:p>
    <w:p w:rsidR="00F755D9" w:rsidRPr="00F755D9" w:rsidRDefault="00F755D9" w:rsidP="00F755D9">
      <w:pPr>
        <w:spacing w:before="60" w:after="0" w:line="360" w:lineRule="auto"/>
        <w:jc w:val="both"/>
        <w:rPr>
          <w:rFonts w:ascii="Arial" w:eastAsia="Times New Roman" w:hAnsi="Arial" w:cs="Arial"/>
          <w:lang w:val="en-US" w:eastAsia="en-GB"/>
        </w:rPr>
      </w:pPr>
      <w:r w:rsidRPr="00F755D9">
        <w:rPr>
          <w:rFonts w:ascii="Arial" w:eastAsia="Times New Roman" w:hAnsi="Arial" w:cs="Arial"/>
          <w:lang w:val="en-US" w:eastAsia="en-GB"/>
        </w:rPr>
        <w:t xml:space="preserve">South African Airways (SAA) encourages its Suppliers/Service Providers to constantly strive to improve their B-BBEE rating hence the request to Respondents to submit a B-BBEE Improvement Plan. Respondents are then requested to indicate the extent to which their ownership, management control, Supplier Development, Preferential Procurement and Enterprise Development will be maintained or improved over the contract period. </w:t>
      </w:r>
    </w:p>
    <w:p w:rsidR="00F755D9" w:rsidRPr="00F755D9" w:rsidRDefault="00F755D9" w:rsidP="00F755D9">
      <w:pPr>
        <w:spacing w:before="60" w:after="0" w:line="360" w:lineRule="auto"/>
        <w:jc w:val="both"/>
        <w:rPr>
          <w:rFonts w:ascii="Arial" w:eastAsia="Times New Roman" w:hAnsi="Arial" w:cs="Arial"/>
          <w:lang w:val="en-US" w:eastAsia="en-GB"/>
        </w:rPr>
      </w:pPr>
      <w:r w:rsidRPr="00F755D9">
        <w:rPr>
          <w:rFonts w:ascii="Arial" w:eastAsia="Times New Roman" w:hAnsi="Arial" w:cs="Arial"/>
          <w:lang w:val="en-US" w:eastAsia="en-GB"/>
        </w:rPr>
        <w:t>Respondents are requested to submit their B-BBEE Improvement Plan as an additional returnable document with their Proposals.</w:t>
      </w:r>
    </w:p>
    <w:p w:rsidR="00F755D9" w:rsidRPr="00F755D9" w:rsidRDefault="00F755D9" w:rsidP="00F755D9">
      <w:pPr>
        <w:spacing w:before="60" w:after="0" w:line="360" w:lineRule="auto"/>
        <w:jc w:val="both"/>
        <w:rPr>
          <w:rFonts w:ascii="Arial" w:eastAsia="Times New Roman" w:hAnsi="Arial" w:cs="Arial"/>
          <w:lang w:val="en-US" w:eastAsia="en-GB"/>
        </w:rPr>
      </w:pPr>
      <w:r w:rsidRPr="00F755D9">
        <w:rPr>
          <w:rFonts w:ascii="Arial" w:eastAsia="Times New Roman" w:hAnsi="Arial" w:cs="Arial"/>
          <w:lang w:val="en-US" w:eastAsia="en-GB"/>
        </w:rPr>
        <w:t xml:space="preserve">Respondents are to insert their current status (%) and future targets (%) for the B-BBEE Improvement Plan [i.e. not the % change but the end-state quantum expressed as a percentage] in the table below. This will indicate how you intend to sustain or improve your B-BBEE rating over the contract period. On agreement, this will represent a binding commitment to the successful Respondent. </w:t>
      </w:r>
    </w:p>
    <w:p w:rsidR="00F755D9" w:rsidRPr="00F755D9" w:rsidRDefault="00F755D9" w:rsidP="00F755D9">
      <w:pPr>
        <w:spacing w:before="60" w:after="0" w:line="360" w:lineRule="auto"/>
        <w:jc w:val="both"/>
        <w:rPr>
          <w:rFonts w:ascii="Arial" w:eastAsia="Times New Roman" w:hAnsi="Arial" w:cs="Arial"/>
          <w:lang w:val="en-US" w:eastAsia="en-GB"/>
        </w:rPr>
      </w:pPr>
      <w:r w:rsidRPr="00F755D9">
        <w:rPr>
          <w:rFonts w:ascii="Arial" w:eastAsia="Times New Roman" w:hAnsi="Arial" w:cs="Arial"/>
          <w:lang w:val="en-US" w:eastAsia="en-GB"/>
        </w:rPr>
        <w:t>SAA reserves the right to request supporting evidence to substantiate the commitments made in the B-BBEE Improvement Plan.</w:t>
      </w:r>
    </w:p>
    <w:p w:rsidR="00F755D9" w:rsidRPr="00F755D9" w:rsidRDefault="00F755D9" w:rsidP="00F755D9">
      <w:pPr>
        <w:spacing w:before="120" w:after="120" w:line="360" w:lineRule="auto"/>
        <w:jc w:val="both"/>
        <w:rPr>
          <w:rFonts w:ascii="Arial" w:eastAsia="Times New Roman" w:hAnsi="Arial" w:cs="Arial"/>
          <w:i/>
          <w:lang w:val="en-US" w:eastAsia="en-GB"/>
        </w:rPr>
      </w:pPr>
    </w:p>
    <w:p w:rsidR="00F755D9" w:rsidRPr="00F755D9" w:rsidRDefault="00F755D9" w:rsidP="00F755D9">
      <w:pPr>
        <w:spacing w:before="120" w:after="120" w:line="360" w:lineRule="auto"/>
        <w:jc w:val="both"/>
        <w:rPr>
          <w:rFonts w:ascii="Arial" w:eastAsia="Times New Roman" w:hAnsi="Arial" w:cs="Arial"/>
          <w:i/>
          <w:lang w:val="en-US" w:eastAsia="en-GB"/>
        </w:rPr>
      </w:pPr>
    </w:p>
    <w:p w:rsidR="00F755D9" w:rsidRPr="00F755D9" w:rsidRDefault="00F755D9" w:rsidP="00F755D9">
      <w:pPr>
        <w:spacing w:before="120" w:after="120" w:line="360" w:lineRule="auto"/>
        <w:jc w:val="both"/>
        <w:rPr>
          <w:rFonts w:ascii="Arial" w:eastAsia="Times New Roman" w:hAnsi="Arial" w:cs="Arial"/>
          <w:i/>
          <w:lang w:val="en-US" w:eastAsia="en-GB"/>
        </w:rPr>
      </w:pPr>
    </w:p>
    <w:tbl>
      <w:tblPr>
        <w:tblW w:w="46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5260"/>
        <w:gridCol w:w="2124"/>
        <w:gridCol w:w="2693"/>
      </w:tblGrid>
      <w:tr w:rsidR="00F755D9" w:rsidRPr="00F755D9" w:rsidTr="00B37961">
        <w:tc>
          <w:tcPr>
            <w:tcW w:w="1209" w:type="pct"/>
            <w:shd w:val="clear" w:color="auto" w:fill="D9D9D9"/>
            <w:vAlign w:val="center"/>
          </w:tcPr>
          <w:p w:rsidR="00F755D9" w:rsidRPr="00F755D9" w:rsidRDefault="00F755D9" w:rsidP="00F755D9">
            <w:pPr>
              <w:spacing w:after="0"/>
              <w:jc w:val="center"/>
              <w:rPr>
                <w:rFonts w:ascii="Arial" w:eastAsia="Calibri" w:hAnsi="Arial" w:cs="Arial"/>
                <w:b/>
              </w:rPr>
            </w:pPr>
            <w:r w:rsidRPr="00F755D9">
              <w:rPr>
                <w:rFonts w:ascii="Arial" w:eastAsia="Calibri" w:hAnsi="Arial" w:cs="Arial"/>
                <w:b/>
              </w:rPr>
              <w:t>OWNERSHIP INDICATOR</w:t>
            </w:r>
          </w:p>
        </w:tc>
        <w:tc>
          <w:tcPr>
            <w:tcW w:w="1979" w:type="pct"/>
            <w:shd w:val="clear" w:color="auto" w:fill="D9D9D9"/>
            <w:vAlign w:val="center"/>
          </w:tcPr>
          <w:p w:rsidR="00F755D9" w:rsidRPr="00F755D9" w:rsidRDefault="00F755D9" w:rsidP="00F755D9">
            <w:pPr>
              <w:spacing w:after="0"/>
              <w:jc w:val="center"/>
              <w:rPr>
                <w:rFonts w:ascii="Arial" w:eastAsia="Calibri" w:hAnsi="Arial" w:cs="Arial"/>
                <w:b/>
              </w:rPr>
            </w:pPr>
            <w:r w:rsidRPr="00F755D9">
              <w:rPr>
                <w:rFonts w:ascii="Arial" w:eastAsia="Calibri" w:hAnsi="Arial" w:cs="Arial"/>
                <w:b/>
              </w:rPr>
              <w:t>Required Responses</w:t>
            </w:r>
          </w:p>
        </w:tc>
        <w:tc>
          <w:tcPr>
            <w:tcW w:w="799" w:type="pct"/>
            <w:shd w:val="clear" w:color="auto" w:fill="548DD4"/>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t>Current Status (%)</w:t>
            </w:r>
          </w:p>
        </w:tc>
        <w:tc>
          <w:tcPr>
            <w:tcW w:w="1013" w:type="pct"/>
            <w:shd w:val="clear" w:color="auto" w:fill="548DD4"/>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t>Future Target (%)</w:t>
            </w: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the business owned by Black</w:t>
            </w:r>
            <w:r w:rsidRPr="00F755D9">
              <w:rPr>
                <w:rFonts w:ascii="Arial" w:eastAsia="Calibri" w:hAnsi="Arial" w:cs="Arial"/>
                <w:vertAlign w:val="superscript"/>
              </w:rPr>
              <w:footnoteReference w:id="1"/>
            </w:r>
            <w:r w:rsidRPr="00F755D9">
              <w:rPr>
                <w:rFonts w:ascii="Arial" w:eastAsia="Calibri" w:hAnsi="Arial" w:cs="Arial"/>
              </w:rPr>
              <w:t xml:space="preserve"> persons. </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ownership in the hands of Black persons as a percentage of total ownership of the organisation would be sustained or increased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 xml:space="preserve">The percentage of your business owned by Black women. </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ownership in the hands of Black women as a percentage of total ownership of the organisation would be sustained or increased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the business owned by Black youth</w:t>
            </w:r>
            <w:r w:rsidRPr="00F755D9">
              <w:rPr>
                <w:rFonts w:ascii="Arial" w:eastAsia="Calibri" w:hAnsi="Arial" w:cs="Arial"/>
                <w:vertAlign w:val="superscript"/>
              </w:rPr>
              <w:footnoteReference w:id="2"/>
            </w:r>
            <w:r w:rsidRPr="00F755D9">
              <w:rPr>
                <w:rFonts w:ascii="Arial" w:eastAsia="Calibri" w:hAnsi="Arial" w:cs="Arial"/>
              </w:rPr>
              <w:t xml:space="preserve"> </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ownership in the hands of Black youth as a percentage of total ownership of the organisation would be sustained or increased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the business owned by Black persons living with disabilities</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ownership in the hands of Black disabled persons as a percentage of total ownership of the organisation would be sustained or increased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r w:rsidR="00F755D9" w:rsidRPr="00F755D9" w:rsidTr="00B37961">
        <w:tc>
          <w:tcPr>
            <w:tcW w:w="1209"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New Entrants</w:t>
            </w:r>
            <w:r w:rsidRPr="00F755D9">
              <w:rPr>
                <w:rFonts w:ascii="Arial" w:eastAsia="Calibri" w:hAnsi="Arial" w:cs="Arial"/>
                <w:vertAlign w:val="superscript"/>
              </w:rPr>
              <w:footnoteReference w:id="3"/>
            </w:r>
            <w:r w:rsidRPr="00F755D9">
              <w:rPr>
                <w:rFonts w:ascii="Arial" w:eastAsia="Calibri" w:hAnsi="Arial" w:cs="Arial"/>
              </w:rPr>
              <w:t xml:space="preserve"> (Early stage business)</w:t>
            </w:r>
          </w:p>
        </w:tc>
        <w:tc>
          <w:tcPr>
            <w:tcW w:w="1979"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new entrants will be supported over the contract period.</w:t>
            </w:r>
          </w:p>
        </w:tc>
        <w:tc>
          <w:tcPr>
            <w:tcW w:w="799"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c>
          <w:tcPr>
            <w:tcW w:w="1013"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jc w:val="center"/>
              <w:rPr>
                <w:rFonts w:ascii="Arial" w:eastAsia="Calibri" w:hAnsi="Arial" w:cs="Arial"/>
              </w:rPr>
            </w:pPr>
          </w:p>
        </w:tc>
      </w:tr>
    </w:tbl>
    <w:p w:rsidR="00F755D9" w:rsidRPr="00F755D9" w:rsidRDefault="00F755D9" w:rsidP="00F755D9">
      <w:pPr>
        <w:spacing w:after="60" w:line="240" w:lineRule="auto"/>
        <w:jc w:val="center"/>
        <w:rPr>
          <w:rFonts w:ascii="Arial" w:eastAsia="Calibri" w:hAnsi="Arial" w:cs="Arial"/>
          <w:b/>
        </w:rPr>
        <w:sectPr w:rsidR="00F755D9" w:rsidRPr="00F755D9" w:rsidSect="00F636A9">
          <w:headerReference w:type="default" r:id="rId10"/>
          <w:footerReference w:type="default" r:id="rId11"/>
          <w:pgSz w:w="16838" w:h="11906" w:orient="landscape"/>
          <w:pgMar w:top="1503" w:right="1134" w:bottom="1134" w:left="1503" w:header="425" w:footer="170" w:gutter="0"/>
          <w:cols w:space="708"/>
          <w:docGrid w:linePitch="360"/>
        </w:sectPr>
      </w:pPr>
    </w:p>
    <w:tbl>
      <w:tblPr>
        <w:tblW w:w="46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4394"/>
        <w:gridCol w:w="1988"/>
        <w:gridCol w:w="2690"/>
      </w:tblGrid>
      <w:tr w:rsidR="00F755D9" w:rsidRPr="00F755D9" w:rsidTr="00B37961">
        <w:tc>
          <w:tcPr>
            <w:tcW w:w="1587" w:type="pct"/>
            <w:shd w:val="clear" w:color="auto" w:fill="D9D9D9"/>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lastRenderedPageBreak/>
              <w:t>MANAGEMENT CONTROL INDICATOR</w:t>
            </w:r>
          </w:p>
        </w:tc>
        <w:tc>
          <w:tcPr>
            <w:tcW w:w="1653" w:type="pct"/>
            <w:shd w:val="clear" w:color="auto" w:fill="D9D9D9"/>
            <w:vAlign w:val="center"/>
          </w:tcPr>
          <w:p w:rsidR="00F755D9" w:rsidRPr="00F755D9" w:rsidRDefault="00F755D9" w:rsidP="00F755D9">
            <w:pPr>
              <w:jc w:val="center"/>
              <w:rPr>
                <w:rFonts w:ascii="Arial" w:eastAsia="Calibri" w:hAnsi="Arial" w:cs="Arial"/>
                <w:b/>
              </w:rPr>
            </w:pPr>
            <w:r w:rsidRPr="00F755D9">
              <w:rPr>
                <w:rFonts w:ascii="Arial" w:eastAsia="Calibri" w:hAnsi="Arial" w:cs="Arial"/>
                <w:b/>
              </w:rPr>
              <w:t>Required Responses</w:t>
            </w:r>
          </w:p>
        </w:tc>
        <w:tc>
          <w:tcPr>
            <w:tcW w:w="748" w:type="pct"/>
            <w:shd w:val="clear" w:color="auto" w:fill="548DD4"/>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t>Current Status (%)</w:t>
            </w:r>
          </w:p>
        </w:tc>
        <w:tc>
          <w:tcPr>
            <w:tcW w:w="1012" w:type="pct"/>
            <w:tcBorders>
              <w:bottom w:val="single" w:sz="4" w:space="0" w:color="000000"/>
            </w:tcBorders>
            <w:shd w:val="clear" w:color="auto" w:fill="548DD4"/>
            <w:vAlign w:val="center"/>
          </w:tcPr>
          <w:p w:rsidR="00F755D9" w:rsidRPr="00F755D9" w:rsidRDefault="00F755D9" w:rsidP="00F755D9">
            <w:pPr>
              <w:spacing w:after="60" w:line="240" w:lineRule="auto"/>
              <w:jc w:val="center"/>
              <w:rPr>
                <w:rFonts w:ascii="Arial" w:eastAsia="Calibri" w:hAnsi="Arial" w:cs="Arial"/>
                <w:b/>
              </w:rPr>
            </w:pPr>
            <w:r w:rsidRPr="00F755D9">
              <w:rPr>
                <w:rFonts w:ascii="Arial" w:eastAsia="Calibri" w:hAnsi="Arial" w:cs="Arial"/>
                <w:b/>
              </w:rPr>
              <w:t>Future Targets (%)</w:t>
            </w:r>
          </w:p>
        </w:tc>
      </w:tr>
      <w:tr w:rsidR="00F755D9" w:rsidRPr="00F755D9" w:rsidTr="00B37961">
        <w:trPr>
          <w:trHeight w:val="1260"/>
        </w:trPr>
        <w:tc>
          <w:tcPr>
            <w:tcW w:w="1587" w:type="pct"/>
            <w:tcBorders>
              <w:bottom w:val="single" w:sz="4" w:space="0" w:color="000000"/>
            </w:tcBorders>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Black Board members in relation to the total number of Board members</w:t>
            </w:r>
          </w:p>
        </w:tc>
        <w:tc>
          <w:tcPr>
            <w:tcW w:w="1653" w:type="pct"/>
            <w:tcBorders>
              <w:bottom w:val="single" w:sz="4" w:space="0" w:color="000000"/>
            </w:tcBorders>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Board members, as a percentage of the total Board, would be sustained or increased over the contract period.</w:t>
            </w:r>
          </w:p>
        </w:tc>
        <w:tc>
          <w:tcPr>
            <w:tcW w:w="748" w:type="pct"/>
            <w:tcBorders>
              <w:top w:val="double" w:sz="4" w:space="0" w:color="auto"/>
              <w:left w:val="double" w:sz="4" w:space="0" w:color="auto"/>
              <w:bottom w:val="single" w:sz="4" w:space="0" w:color="000000"/>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single" w:sz="4" w:space="0" w:color="000000"/>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23"/>
        </w:trPr>
        <w:tc>
          <w:tcPr>
            <w:tcW w:w="1587" w:type="pct"/>
            <w:tcBorders>
              <w:bottom w:val="single" w:sz="4" w:space="0" w:color="000000"/>
            </w:tcBorders>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percentage of Black female Board members in relation to the total number of Board members</w:t>
            </w:r>
          </w:p>
        </w:tc>
        <w:tc>
          <w:tcPr>
            <w:tcW w:w="1653" w:type="pct"/>
            <w:tcBorders>
              <w:bottom w:val="single" w:sz="4" w:space="0" w:color="000000"/>
            </w:tcBorders>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female Board members, as a percentage of the total Board, would be sustained or increased over the contract period.</w:t>
            </w:r>
          </w:p>
        </w:tc>
        <w:tc>
          <w:tcPr>
            <w:tcW w:w="748" w:type="pct"/>
            <w:tcBorders>
              <w:top w:val="double" w:sz="4" w:space="0" w:color="auto"/>
              <w:left w:val="double" w:sz="4" w:space="0" w:color="auto"/>
              <w:bottom w:val="single" w:sz="4" w:space="0" w:color="000000"/>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single" w:sz="4" w:space="0" w:color="000000"/>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keepNext/>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Executives directors as a percentage of all executive directors</w:t>
            </w:r>
          </w:p>
        </w:tc>
        <w:tc>
          <w:tcPr>
            <w:tcW w:w="1653" w:type="pct"/>
          </w:tcPr>
          <w:p w:rsidR="00F755D9" w:rsidRPr="00F755D9" w:rsidRDefault="00F755D9" w:rsidP="00F755D9">
            <w:pPr>
              <w:keepNext/>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executive Directors as a percentage of all Executive Directors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keepNext/>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female Executives directors as a percentage of all executive directors</w:t>
            </w:r>
          </w:p>
        </w:tc>
        <w:tc>
          <w:tcPr>
            <w:tcW w:w="1653" w:type="pct"/>
          </w:tcPr>
          <w:p w:rsidR="00F755D9" w:rsidRPr="00F755D9" w:rsidRDefault="00F755D9" w:rsidP="00F755D9">
            <w:pPr>
              <w:keepNext/>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female executive Directors as a percentage of all Executive Directors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jc w:val="center"/>
              <w:rPr>
                <w:rFonts w:ascii="Arial" w:eastAsia="Calibri" w:hAnsi="Arial" w:cs="Arial"/>
              </w:rPr>
            </w:pPr>
          </w:p>
        </w:tc>
      </w:tr>
      <w:tr w:rsidR="00F755D9" w:rsidRPr="00F755D9" w:rsidTr="00B37961">
        <w:trPr>
          <w:trHeight w:val="287"/>
        </w:trPr>
        <w:tc>
          <w:tcPr>
            <w:tcW w:w="1587" w:type="pct"/>
            <w:shd w:val="clear" w:color="auto" w:fill="D9D9D9"/>
            <w:vAlign w:val="center"/>
          </w:tcPr>
          <w:p w:rsidR="00F755D9" w:rsidRPr="00F755D9" w:rsidRDefault="00F755D9" w:rsidP="00F755D9">
            <w:pPr>
              <w:keepNext/>
              <w:spacing w:before="60" w:after="60" w:line="240" w:lineRule="auto"/>
              <w:rPr>
                <w:rFonts w:ascii="Arial" w:eastAsia="Calibri" w:hAnsi="Arial" w:cs="Arial"/>
                <w:highlight w:val="yellow"/>
              </w:rPr>
            </w:pPr>
            <w:r w:rsidRPr="00F755D9">
              <w:rPr>
                <w:rFonts w:ascii="Arial" w:eastAsia="Calibri" w:hAnsi="Arial" w:cs="Arial"/>
                <w:b/>
              </w:rPr>
              <w:t>Other Executive Management</w:t>
            </w:r>
          </w:p>
        </w:tc>
        <w:tc>
          <w:tcPr>
            <w:tcW w:w="1653" w:type="pct"/>
            <w:shd w:val="clear" w:color="auto" w:fill="D9D9D9"/>
            <w:vAlign w:val="center"/>
          </w:tcPr>
          <w:p w:rsidR="00F755D9" w:rsidRPr="00F755D9" w:rsidRDefault="00F755D9" w:rsidP="00F755D9">
            <w:pPr>
              <w:keepNext/>
              <w:spacing w:before="60" w:after="60" w:line="240" w:lineRule="auto"/>
              <w:rPr>
                <w:rFonts w:ascii="Arial" w:eastAsia="Calibri" w:hAnsi="Arial" w:cs="Arial"/>
                <w:i/>
                <w:highlight w:val="yellow"/>
                <w:lang w:eastAsia="en-ZA"/>
              </w:rPr>
            </w:pPr>
            <w:r w:rsidRPr="00F755D9">
              <w:rPr>
                <w:rFonts w:ascii="Arial" w:eastAsia="Calibri" w:hAnsi="Arial" w:cs="Arial"/>
                <w:b/>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keepNext/>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keepNext/>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Executive Management as a percentage of all executive directors</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the number of Black executive Managers as a percentage of all Executive Directors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 xml:space="preserve">Black Female Executive Management as a percentage of all </w:t>
            </w:r>
            <w:r w:rsidRPr="00F755D9">
              <w:rPr>
                <w:rFonts w:ascii="Arial" w:eastAsia="Calibri" w:hAnsi="Arial" w:cs="Arial"/>
              </w:rPr>
              <w:lastRenderedPageBreak/>
              <w:t>executive directors</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lastRenderedPageBreak/>
              <w:t xml:space="preserve">Provide a commitment based on the extent to which the number of Black </w:t>
            </w:r>
            <w:r w:rsidRPr="00F755D9">
              <w:rPr>
                <w:rFonts w:ascii="Arial" w:eastAsia="Calibri" w:hAnsi="Arial" w:cs="Arial"/>
                <w:i/>
                <w:lang w:eastAsia="en-ZA"/>
              </w:rPr>
              <w:lastRenderedPageBreak/>
              <w:t>female executive Managers as a percentage of all Executive Directors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BFBFBF"/>
            <w:vAlign w:val="center"/>
          </w:tcPr>
          <w:p w:rsidR="00F755D9" w:rsidRPr="00F755D9" w:rsidRDefault="00F755D9" w:rsidP="00F755D9">
            <w:pPr>
              <w:spacing w:before="60" w:after="60" w:line="240" w:lineRule="auto"/>
              <w:ind w:left="426"/>
              <w:rPr>
                <w:rFonts w:ascii="Arial" w:eastAsia="Calibri" w:hAnsi="Arial" w:cs="Arial"/>
                <w:highlight w:val="yellow"/>
              </w:rPr>
            </w:pPr>
            <w:r w:rsidRPr="00F755D9">
              <w:rPr>
                <w:rFonts w:ascii="Arial" w:eastAsia="Calibri" w:hAnsi="Arial" w:cs="Arial"/>
                <w:b/>
              </w:rPr>
              <w:lastRenderedPageBreak/>
              <w:t>Senior Management</w:t>
            </w:r>
          </w:p>
        </w:tc>
        <w:tc>
          <w:tcPr>
            <w:tcW w:w="1653" w:type="pct"/>
            <w:shd w:val="clear" w:color="auto" w:fill="BFBFBF"/>
            <w:vAlign w:val="center"/>
          </w:tcPr>
          <w:p w:rsidR="00F755D9" w:rsidRPr="00F755D9" w:rsidRDefault="00F755D9" w:rsidP="00F755D9">
            <w:pPr>
              <w:spacing w:before="60" w:after="60" w:line="240" w:lineRule="auto"/>
              <w:rPr>
                <w:rFonts w:ascii="Arial" w:eastAsia="Calibri" w:hAnsi="Arial" w:cs="Arial"/>
                <w:i/>
                <w:highlight w:val="yellow"/>
                <w:lang w:eastAsia="en-ZA"/>
              </w:rPr>
            </w:pPr>
            <w:r w:rsidRPr="00F755D9">
              <w:rPr>
                <w:rFonts w:ascii="Arial" w:eastAsia="Calibri" w:hAnsi="Arial" w:cs="Arial"/>
                <w:b/>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employees in Senior Management as a percentage of all senior management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the percentage of Blacks that would be appointed or retained by the Board and would be operationally involved in the day to day </w:t>
            </w:r>
            <w:r w:rsidRPr="00F755D9">
              <w:rPr>
                <w:rFonts w:ascii="Arial" w:eastAsia="Calibri" w:hAnsi="Arial" w:cs="Arial"/>
                <w:b/>
                <w:i/>
                <w:lang w:eastAsia="en-ZA"/>
              </w:rPr>
              <w:t xml:space="preserve">senior management </w:t>
            </w:r>
            <w:r w:rsidRPr="00F755D9">
              <w:rPr>
                <w:rFonts w:ascii="Arial" w:eastAsia="Calibri" w:hAnsi="Arial" w:cs="Arial"/>
                <w:i/>
                <w:lang w:eastAsia="en-ZA"/>
              </w:rPr>
              <w:t xml:space="preserve">of the business, with individual responsibility for overall and/or financial management of the business and actively involved in the development and implementation of </w:t>
            </w:r>
            <w:r w:rsidRPr="00F755D9">
              <w:rPr>
                <w:rFonts w:ascii="Arial" w:eastAsia="Calibri" w:hAnsi="Arial" w:cs="Arial"/>
                <w:b/>
                <w:i/>
                <w:lang w:eastAsia="en-ZA"/>
              </w:rPr>
              <w:t xml:space="preserve">overall strategy, </w:t>
            </w:r>
            <w:r w:rsidRPr="00F755D9">
              <w:rPr>
                <w:rFonts w:ascii="Arial" w:eastAsia="Calibri" w:hAnsi="Arial" w:cs="Arial"/>
                <w:i/>
                <w:lang w:eastAsia="en-ZA"/>
              </w:rPr>
              <w:t>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female employees in Senior Management as a percentage of all senior management</w:t>
            </w:r>
          </w:p>
        </w:tc>
        <w:tc>
          <w:tcPr>
            <w:tcW w:w="1653" w:type="pct"/>
          </w:tcPr>
          <w:p w:rsidR="00F755D9" w:rsidRPr="00F755D9" w:rsidRDefault="00F755D9" w:rsidP="00F755D9">
            <w:pPr>
              <w:spacing w:before="60" w:after="60" w:line="240" w:lineRule="auto"/>
              <w:rPr>
                <w:rFonts w:ascii="Arial" w:eastAsia="Calibri" w:hAnsi="Arial" w:cs="Arial"/>
                <w:i/>
                <w:highlight w:val="yellow"/>
                <w:lang w:eastAsia="en-ZA"/>
              </w:rPr>
            </w:pPr>
            <w:r w:rsidRPr="00F755D9">
              <w:rPr>
                <w:rFonts w:ascii="Arial" w:eastAsia="Calibri" w:hAnsi="Arial" w:cs="Arial"/>
                <w:i/>
                <w:lang w:eastAsia="en-ZA"/>
              </w:rPr>
              <w:t xml:space="preserve">Provide the percentage of Black females that would be appointed or retained by the Board and would be operationally involved in the day to day </w:t>
            </w:r>
            <w:r w:rsidRPr="00F755D9">
              <w:rPr>
                <w:rFonts w:ascii="Arial" w:eastAsia="Calibri" w:hAnsi="Arial" w:cs="Arial"/>
                <w:b/>
                <w:i/>
                <w:lang w:eastAsia="en-ZA"/>
              </w:rPr>
              <w:t xml:space="preserve">senior management </w:t>
            </w:r>
            <w:r w:rsidRPr="00F755D9">
              <w:rPr>
                <w:rFonts w:ascii="Arial" w:eastAsia="Calibri" w:hAnsi="Arial" w:cs="Arial"/>
                <w:i/>
                <w:lang w:eastAsia="en-ZA"/>
              </w:rPr>
              <w:t xml:space="preserve">of the business, with individual responsibility for overall and/or financial management of the business and actively involved in the development and implementation of </w:t>
            </w:r>
            <w:r w:rsidRPr="00F755D9">
              <w:rPr>
                <w:rFonts w:ascii="Arial" w:eastAsia="Calibri" w:hAnsi="Arial" w:cs="Arial"/>
                <w:b/>
                <w:i/>
                <w:lang w:eastAsia="en-ZA"/>
              </w:rPr>
              <w:t xml:space="preserve">overall strategy, </w:t>
            </w:r>
            <w:r w:rsidRPr="00F755D9">
              <w:rPr>
                <w:rFonts w:ascii="Arial" w:eastAsia="Calibri" w:hAnsi="Arial" w:cs="Arial"/>
                <w:i/>
                <w:lang w:eastAsia="en-ZA"/>
              </w:rPr>
              <w:t>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6A6A6"/>
            <w:vAlign w:val="center"/>
          </w:tcPr>
          <w:p w:rsidR="00F755D9" w:rsidRPr="00F755D9" w:rsidRDefault="00F755D9" w:rsidP="00F755D9">
            <w:pPr>
              <w:spacing w:before="60" w:after="60" w:line="240" w:lineRule="auto"/>
              <w:ind w:left="426"/>
              <w:rPr>
                <w:rFonts w:ascii="Arial" w:eastAsia="Calibri" w:hAnsi="Arial" w:cs="Arial"/>
              </w:rPr>
            </w:pPr>
            <w:r w:rsidRPr="00F755D9">
              <w:rPr>
                <w:rFonts w:ascii="Arial" w:eastAsia="Calibri" w:hAnsi="Arial" w:cs="Arial"/>
                <w:b/>
              </w:rPr>
              <w:t>Middle Management</w:t>
            </w:r>
          </w:p>
        </w:tc>
        <w:tc>
          <w:tcPr>
            <w:tcW w:w="1653" w:type="pct"/>
            <w:shd w:val="clear" w:color="auto" w:fill="A6A6A6"/>
            <w:vAlign w:val="center"/>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b/>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employees in Middle  Management as a percentage of all middle management</w:t>
            </w:r>
          </w:p>
        </w:tc>
        <w:tc>
          <w:tcPr>
            <w:tcW w:w="1653" w:type="pct"/>
            <w:shd w:val="clear" w:color="auto" w:fill="auto"/>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the percentage of Blacks that would be retained or appointed by the organisation in the </w:t>
            </w:r>
            <w:r w:rsidRPr="00F755D9">
              <w:rPr>
                <w:rFonts w:ascii="Arial" w:eastAsia="Calibri" w:hAnsi="Arial" w:cs="Arial"/>
                <w:b/>
                <w:i/>
                <w:lang w:eastAsia="en-ZA"/>
              </w:rPr>
              <w:t>middle management</w:t>
            </w:r>
            <w:r w:rsidRPr="00F755D9">
              <w:rPr>
                <w:rFonts w:ascii="Arial" w:eastAsia="Calibri" w:hAnsi="Arial" w:cs="Arial"/>
                <w:i/>
                <w:lang w:eastAsia="en-ZA"/>
              </w:rPr>
              <w:t xml:space="preserve"> cadre and would be operationally involved in the day to day management of the business, with individual responsibility for a particular area within the business and </w:t>
            </w:r>
            <w:r w:rsidRPr="00F755D9">
              <w:rPr>
                <w:rFonts w:ascii="Arial" w:eastAsia="Calibri" w:hAnsi="Arial" w:cs="Arial"/>
                <w:i/>
                <w:lang w:eastAsia="en-ZA"/>
              </w:rPr>
              <w:lastRenderedPageBreak/>
              <w:t xml:space="preserve">actively involved in the </w:t>
            </w:r>
            <w:r w:rsidRPr="00F755D9">
              <w:rPr>
                <w:rFonts w:ascii="Arial" w:eastAsia="Calibri" w:hAnsi="Arial" w:cs="Arial"/>
                <w:b/>
                <w:i/>
                <w:lang w:eastAsia="en-ZA"/>
              </w:rPr>
              <w:t>day to day management</w:t>
            </w:r>
            <w:r w:rsidRPr="00F755D9">
              <w:rPr>
                <w:rFonts w:ascii="Arial" w:eastAsia="Calibri" w:hAnsi="Arial" w:cs="Arial"/>
                <w:i/>
                <w:lang w:eastAsia="en-ZA"/>
              </w:rPr>
              <w:t xml:space="preserve"> of the organisation, over the contract period.</w:t>
            </w:r>
          </w:p>
        </w:tc>
        <w:tc>
          <w:tcPr>
            <w:tcW w:w="748" w:type="pct"/>
            <w:tcBorders>
              <w:top w:val="double" w:sz="4" w:space="0" w:color="auto"/>
              <w:left w:val="double" w:sz="4" w:space="0" w:color="auto"/>
              <w:bottom w:val="double" w:sz="4" w:space="0" w:color="auto"/>
              <w:right w:val="double" w:sz="4" w:space="0" w:color="auto"/>
            </w:tcBorders>
            <w:shd w:val="clear" w:color="auto" w:fill="auto"/>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shd w:val="clear" w:color="auto" w:fill="auto"/>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lastRenderedPageBreak/>
              <w:t>Black female employees in Middle  Management as a percentage of all middle management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the percentage of Blacks females  that would be retained or appointed by the organisation in the </w:t>
            </w:r>
            <w:r w:rsidRPr="00F755D9">
              <w:rPr>
                <w:rFonts w:ascii="Arial" w:eastAsia="Calibri" w:hAnsi="Arial" w:cs="Arial"/>
                <w:b/>
                <w:i/>
                <w:lang w:eastAsia="en-ZA"/>
              </w:rPr>
              <w:t>middle management</w:t>
            </w:r>
            <w:r w:rsidRPr="00F755D9">
              <w:rPr>
                <w:rFonts w:ascii="Arial" w:eastAsia="Calibri" w:hAnsi="Arial" w:cs="Arial"/>
                <w:i/>
                <w:lang w:eastAsia="en-ZA"/>
              </w:rPr>
              <w:t xml:space="preserve"> cadre and would be operationally involved in the day to day management of the business, with individual responsibility for a particular area within the business and actively involved in the </w:t>
            </w:r>
            <w:r w:rsidRPr="00F755D9">
              <w:rPr>
                <w:rFonts w:ascii="Arial" w:eastAsia="Calibri" w:hAnsi="Arial" w:cs="Arial"/>
                <w:b/>
                <w:i/>
                <w:lang w:eastAsia="en-ZA"/>
              </w:rPr>
              <w:t>day to day management</w:t>
            </w:r>
            <w:r w:rsidRPr="00F755D9">
              <w:rPr>
                <w:rFonts w:ascii="Arial" w:eastAsia="Calibri" w:hAnsi="Arial" w:cs="Arial"/>
                <w:i/>
                <w:lang w:eastAsia="en-ZA"/>
              </w:rPr>
              <w:t xml:space="preserve"> of the organisation,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BFBFBF"/>
            <w:vAlign w:val="center"/>
          </w:tcPr>
          <w:p w:rsidR="00F755D9" w:rsidRPr="00F755D9" w:rsidRDefault="00F755D9" w:rsidP="00F755D9">
            <w:pPr>
              <w:spacing w:before="60" w:after="60" w:line="240" w:lineRule="auto"/>
              <w:rPr>
                <w:rFonts w:ascii="Arial" w:eastAsia="Calibri" w:hAnsi="Arial" w:cs="Arial"/>
              </w:rPr>
            </w:pPr>
            <w:r w:rsidRPr="00F755D9">
              <w:rPr>
                <w:rFonts w:ascii="Arial" w:eastAsia="Calibri" w:hAnsi="Arial" w:cs="Arial"/>
                <w:b/>
              </w:rPr>
              <w:t>Junior Management</w:t>
            </w:r>
          </w:p>
        </w:tc>
        <w:tc>
          <w:tcPr>
            <w:tcW w:w="1653" w:type="pct"/>
            <w:shd w:val="clear" w:color="auto" w:fill="BFBFBF"/>
            <w:vAlign w:val="center"/>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b/>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employees in Junior management as a percentage  of all junior management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a commitment based on the extent to which the number of Black Junior Managers as a percentage of the total junior </w:t>
            </w:r>
            <w:proofErr w:type="gramStart"/>
            <w:r w:rsidRPr="00F755D9">
              <w:rPr>
                <w:rFonts w:ascii="Arial" w:eastAsia="Calibri" w:hAnsi="Arial" w:cs="Arial"/>
                <w:i/>
                <w:lang w:eastAsia="en-ZA"/>
              </w:rPr>
              <w:t>Managers,</w:t>
            </w:r>
            <w:proofErr w:type="gramEnd"/>
            <w:r w:rsidRPr="00F755D9">
              <w:rPr>
                <w:rFonts w:ascii="Arial" w:eastAsia="Calibri" w:hAnsi="Arial" w:cs="Arial"/>
                <w:i/>
                <w:lang w:eastAsia="en-ZA"/>
              </w:rPr>
              <w:t xml:space="preserve">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female employees in Junior management as a percentage  of all junior management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a commitment based on the extent to which the number of Black female Junior Managers as a percentage of the total junior </w:t>
            </w:r>
            <w:proofErr w:type="gramStart"/>
            <w:r w:rsidRPr="00F755D9">
              <w:rPr>
                <w:rFonts w:ascii="Arial" w:eastAsia="Calibri" w:hAnsi="Arial" w:cs="Arial"/>
                <w:i/>
                <w:lang w:eastAsia="en-ZA"/>
              </w:rPr>
              <w:t>Managers,</w:t>
            </w:r>
            <w:proofErr w:type="gramEnd"/>
            <w:r w:rsidRPr="00F755D9">
              <w:rPr>
                <w:rFonts w:ascii="Arial" w:eastAsia="Calibri" w:hAnsi="Arial" w:cs="Arial"/>
                <w:i/>
                <w:lang w:eastAsia="en-ZA"/>
              </w:rPr>
              <w:t xml:space="preserve">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BFBFBF"/>
            <w:vAlign w:val="center"/>
          </w:tcPr>
          <w:p w:rsidR="00F755D9" w:rsidRPr="00F755D9" w:rsidRDefault="00F755D9" w:rsidP="00F755D9">
            <w:pPr>
              <w:spacing w:before="60" w:after="60" w:line="240" w:lineRule="auto"/>
              <w:rPr>
                <w:rFonts w:ascii="Arial" w:eastAsia="Calibri" w:hAnsi="Arial" w:cs="Arial"/>
                <w:highlight w:val="lightGray"/>
              </w:rPr>
            </w:pPr>
            <w:r w:rsidRPr="00F755D9">
              <w:rPr>
                <w:rFonts w:ascii="Arial" w:eastAsia="Calibri" w:hAnsi="Arial" w:cs="Arial"/>
                <w:b/>
                <w:highlight w:val="lightGray"/>
              </w:rPr>
              <w:t xml:space="preserve">Employees with disabilities </w:t>
            </w:r>
          </w:p>
        </w:tc>
        <w:tc>
          <w:tcPr>
            <w:tcW w:w="1653" w:type="pct"/>
            <w:shd w:val="clear" w:color="auto" w:fill="BFBFBF"/>
            <w:vAlign w:val="center"/>
          </w:tcPr>
          <w:p w:rsidR="00F755D9" w:rsidRPr="00F755D9" w:rsidRDefault="00F755D9" w:rsidP="00F755D9">
            <w:pPr>
              <w:spacing w:before="60" w:after="60" w:line="240" w:lineRule="auto"/>
              <w:rPr>
                <w:rFonts w:ascii="Arial" w:eastAsia="Calibri" w:hAnsi="Arial" w:cs="Arial"/>
                <w:i/>
                <w:highlight w:val="lightGray"/>
                <w:lang w:eastAsia="en-ZA"/>
              </w:rPr>
            </w:pPr>
            <w:r w:rsidRPr="00F755D9">
              <w:rPr>
                <w:rFonts w:ascii="Arial" w:eastAsia="Calibri" w:hAnsi="Arial" w:cs="Arial"/>
                <w:b/>
                <w:highlight w:val="lightGray"/>
              </w:rPr>
              <w:t>Required Response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Black employees with disabilities as a percentage of all employees</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 xml:space="preserve">Provide a commitment based on the extent to which the percentage of Black disabled employees, in relation to the total of all employees in the organisation, would </w:t>
            </w:r>
            <w:r w:rsidRPr="00F755D9">
              <w:rPr>
                <w:rFonts w:ascii="Arial" w:eastAsia="Calibri" w:hAnsi="Arial" w:cs="Arial"/>
                <w:i/>
                <w:lang w:eastAsia="en-ZA"/>
              </w:rPr>
              <w:lastRenderedPageBreak/>
              <w:t>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r w:rsidR="00F755D9" w:rsidRPr="00F755D9" w:rsidTr="00B37961">
        <w:trPr>
          <w:trHeight w:val="287"/>
        </w:trPr>
        <w:tc>
          <w:tcPr>
            <w:tcW w:w="1587" w:type="pct"/>
            <w:shd w:val="clear" w:color="auto" w:fill="BFBFBF"/>
            <w:vAlign w:val="center"/>
          </w:tcPr>
          <w:p w:rsidR="00F755D9" w:rsidRPr="00F755D9" w:rsidRDefault="00F755D9" w:rsidP="00F755D9">
            <w:pPr>
              <w:spacing w:before="60" w:after="60" w:line="240" w:lineRule="auto"/>
              <w:ind w:left="426"/>
              <w:rPr>
                <w:rFonts w:ascii="Arial" w:eastAsia="Calibri" w:hAnsi="Arial" w:cs="Arial"/>
                <w:highlight w:val="lightGray"/>
              </w:rPr>
            </w:pPr>
            <w:r w:rsidRPr="00F755D9">
              <w:rPr>
                <w:rFonts w:ascii="Arial" w:eastAsia="Calibri" w:hAnsi="Arial" w:cs="Arial"/>
                <w:b/>
                <w:highlight w:val="lightGray"/>
              </w:rPr>
              <w:lastRenderedPageBreak/>
              <w:t>PREFERENTIAL PROCUREMENT INDICATOR</w:t>
            </w:r>
          </w:p>
        </w:tc>
        <w:tc>
          <w:tcPr>
            <w:tcW w:w="1653" w:type="pct"/>
            <w:shd w:val="clear" w:color="auto" w:fill="BFBFBF"/>
            <w:vAlign w:val="center"/>
          </w:tcPr>
          <w:p w:rsidR="00F755D9" w:rsidRPr="00F755D9" w:rsidRDefault="00F755D9" w:rsidP="00F755D9">
            <w:pPr>
              <w:spacing w:before="60" w:after="60" w:line="240" w:lineRule="auto"/>
              <w:rPr>
                <w:rFonts w:ascii="Arial" w:eastAsia="Calibri" w:hAnsi="Arial" w:cs="Arial"/>
                <w:i/>
                <w:highlight w:val="lightGray"/>
                <w:lang w:eastAsia="en-ZA"/>
              </w:rPr>
            </w:pPr>
            <w:r w:rsidRPr="00F755D9">
              <w:rPr>
                <w:rFonts w:ascii="Arial" w:eastAsia="Calibri" w:hAnsi="Arial" w:cs="Arial"/>
                <w:b/>
                <w:highlight w:val="lightGray"/>
              </w:rPr>
              <w:t>Required Responses</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spacing w:line="240" w:lineRule="auto"/>
              <w:jc w:val="center"/>
              <w:rPr>
                <w:rFonts w:ascii="Arial" w:eastAsia="Calibri" w:hAnsi="Arial" w:cs="Arial"/>
              </w:rPr>
            </w:pPr>
            <w:r w:rsidRPr="00F755D9">
              <w:rPr>
                <w:rFonts w:ascii="Arial" w:eastAsia="Calibri" w:hAnsi="Arial" w:cs="Arial"/>
                <w:b/>
              </w:rPr>
              <w:t>Future Targets (%)</w:t>
            </w:r>
          </w:p>
        </w:tc>
      </w:tr>
      <w:tr w:rsidR="00F755D9" w:rsidRPr="00F755D9" w:rsidTr="00B37961">
        <w:trPr>
          <w:trHeight w:val="287"/>
        </w:trPr>
        <w:tc>
          <w:tcPr>
            <w:tcW w:w="1587" w:type="pct"/>
            <w:shd w:val="clear" w:color="auto" w:fill="auto"/>
            <w:vAlign w:val="center"/>
          </w:tcPr>
          <w:p w:rsidR="00F755D9" w:rsidRPr="00F755D9" w:rsidRDefault="00F755D9" w:rsidP="00F755D9">
            <w:pPr>
              <w:numPr>
                <w:ilvl w:val="0"/>
                <w:numId w:val="1"/>
              </w:numPr>
              <w:spacing w:before="60" w:after="60" w:line="240" w:lineRule="auto"/>
              <w:ind w:left="426" w:hanging="426"/>
              <w:rPr>
                <w:rFonts w:ascii="Arial" w:eastAsia="Calibri" w:hAnsi="Arial" w:cs="Arial"/>
                <w:b/>
              </w:rPr>
            </w:pPr>
            <w:r w:rsidRPr="00F755D9">
              <w:rPr>
                <w:rFonts w:ascii="Arial" w:eastAsia="Calibri" w:hAnsi="Arial" w:cs="Arial"/>
              </w:rPr>
              <w:t>B-BBEE procurement spend from all Empowering Suppliers</w:t>
            </w:r>
            <w:r w:rsidRPr="00F755D9">
              <w:rPr>
                <w:rFonts w:ascii="Arial" w:eastAsia="Calibri" w:hAnsi="Arial" w:cs="Arial"/>
                <w:vertAlign w:val="superscript"/>
              </w:rPr>
              <w:footnoteReference w:id="4"/>
            </w:r>
            <w:r w:rsidRPr="00F755D9">
              <w:rPr>
                <w:rFonts w:ascii="Arial" w:eastAsia="Calibri" w:hAnsi="Arial" w:cs="Arial"/>
              </w:rPr>
              <w:t xml:space="preserve"> based on the B-BBEE procurement recognition level as a percentage of total measured procurement spend</w:t>
            </w:r>
          </w:p>
        </w:tc>
        <w:tc>
          <w:tcPr>
            <w:tcW w:w="1653" w:type="pct"/>
            <w:vAlign w:val="center"/>
          </w:tcPr>
          <w:p w:rsidR="00F755D9" w:rsidRPr="00F755D9" w:rsidRDefault="00F755D9" w:rsidP="00F755D9">
            <w:pPr>
              <w:spacing w:before="60" w:after="60" w:line="240" w:lineRule="auto"/>
              <w:rPr>
                <w:rFonts w:ascii="Arial" w:eastAsia="Calibri" w:hAnsi="Arial" w:cs="Arial"/>
                <w:b/>
              </w:rPr>
            </w:pPr>
            <w:r w:rsidRPr="00F755D9">
              <w:rPr>
                <w:rFonts w:ascii="Arial" w:eastAsia="Calibri" w:hAnsi="Arial" w:cs="Arial"/>
                <w:i/>
                <w:lang w:eastAsia="en-ZA"/>
              </w:rPr>
              <w:t>Provide a commitment based on the extent to which B-BBEE spend from all Empowering Suppliers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vAlign w:val="center"/>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vAlign w:val="center"/>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b/>
              </w:rPr>
            </w:pPr>
            <w:r w:rsidRPr="00F755D9">
              <w:rPr>
                <w:rFonts w:ascii="Arial" w:eastAsia="Calibri" w:hAnsi="Arial" w:cs="Arial"/>
              </w:rPr>
              <w:t>20 B-BBEE procurement spend from all Empowering Suppliers QSEs based on the applicable B-BBEE Procurement Recognition Levels as a percentage of Total Measured Procurement Spend</w:t>
            </w:r>
          </w:p>
        </w:tc>
        <w:tc>
          <w:tcPr>
            <w:tcW w:w="1653" w:type="pct"/>
          </w:tcPr>
          <w:p w:rsidR="00F755D9" w:rsidRPr="00F755D9" w:rsidRDefault="00F755D9" w:rsidP="00F755D9">
            <w:pPr>
              <w:spacing w:before="60" w:after="60" w:line="240" w:lineRule="auto"/>
              <w:rPr>
                <w:rFonts w:ascii="Arial" w:eastAsia="Calibri" w:hAnsi="Arial" w:cs="Arial"/>
                <w:b/>
              </w:rPr>
            </w:pPr>
            <w:r w:rsidRPr="00F755D9">
              <w:rPr>
                <w:rFonts w:ascii="Arial" w:eastAsia="Calibri" w:hAnsi="Arial" w:cs="Arial"/>
                <w:i/>
                <w:lang w:eastAsia="en-ZA"/>
              </w:rPr>
              <w:t>Provide a commitment based on the extent to which B-BBEE spend from Empowering Supplier QSEs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vAlign w:val="center"/>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vAlign w:val="center"/>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B-BBEE procurement spend from Exempted Micro- Enterprise based on the applicable B-BBEE procurement recognition Levels as a percentage of Total Measured Procurement Spend</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B-BBEE spend from EMEs would be sustained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 xml:space="preserve"> B-BBEE procurement spend from Empowering Suppliers that are at least 51%  black owned based on the applicable B-BBEE Procurement Recognition Levels as a percentage of Total Measured Procurement </w:t>
            </w:r>
            <w:r w:rsidRPr="00F755D9">
              <w:rPr>
                <w:rFonts w:ascii="Arial" w:eastAsia="Calibri" w:hAnsi="Arial" w:cs="Arial"/>
              </w:rPr>
              <w:lastRenderedPageBreak/>
              <w:t>Spend</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lastRenderedPageBreak/>
              <w:t>Provide a commitment based on the extent to which spend from Empowering Suppliers who are more than 51% Black-owned would be maintained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lastRenderedPageBreak/>
              <w:t>B-BBEE procurement spend from Empowering Suppliers that are at least 30%  black women owned based on the applicable B-BBEE Procurement Recognition Levels as a percentage of Total Measured Procurement Spend</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spend from Empowering Suppliers who are more than 30% Black women-owned would be maintained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B-BBEE Procurement Spent from Designated Group</w:t>
            </w:r>
            <w:r w:rsidRPr="00F755D9">
              <w:rPr>
                <w:rFonts w:ascii="Arial" w:eastAsia="Calibri" w:hAnsi="Arial" w:cs="Arial"/>
                <w:vertAlign w:val="superscript"/>
              </w:rPr>
              <w:footnoteReference w:id="5"/>
            </w:r>
            <w:r w:rsidRPr="00F755D9">
              <w:rPr>
                <w:rFonts w:ascii="Arial" w:eastAsia="Calibri" w:hAnsi="Arial" w:cs="Arial"/>
              </w:rPr>
              <w:t xml:space="preserve"> Suppliers that are at least 51% Black owned</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extent to which spend from suppliers from Designated Group Suppliers that are at least 51% Black owned would be maintained or increased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b/>
              </w:rPr>
            </w:pPr>
          </w:p>
        </w:tc>
      </w:tr>
      <w:tr w:rsidR="00F755D9" w:rsidRPr="00F755D9" w:rsidTr="00B37961">
        <w:trPr>
          <w:trHeight w:val="287"/>
        </w:trPr>
        <w:tc>
          <w:tcPr>
            <w:tcW w:w="1587" w:type="pct"/>
            <w:shd w:val="clear" w:color="auto" w:fill="BFBFBF"/>
            <w:vAlign w:val="center"/>
          </w:tcPr>
          <w:p w:rsidR="00F755D9" w:rsidRPr="00F755D9" w:rsidRDefault="00F755D9" w:rsidP="00F755D9">
            <w:pPr>
              <w:keepNext/>
              <w:spacing w:before="60" w:after="60" w:line="240" w:lineRule="auto"/>
              <w:rPr>
                <w:rFonts w:ascii="Arial" w:eastAsia="Calibri" w:hAnsi="Arial" w:cs="Arial"/>
              </w:rPr>
            </w:pPr>
            <w:r w:rsidRPr="00F755D9">
              <w:rPr>
                <w:rFonts w:ascii="Arial" w:eastAsia="Calibri" w:hAnsi="Arial" w:cs="Arial"/>
                <w:b/>
              </w:rPr>
              <w:lastRenderedPageBreak/>
              <w:t>SUPPLIER DEVELOPMENT INDICATOR</w:t>
            </w:r>
          </w:p>
        </w:tc>
        <w:tc>
          <w:tcPr>
            <w:tcW w:w="1653" w:type="pct"/>
            <w:shd w:val="clear" w:color="auto" w:fill="BFBFBF"/>
            <w:vAlign w:val="center"/>
          </w:tcPr>
          <w:p w:rsidR="00F755D9" w:rsidRPr="00F755D9" w:rsidRDefault="00F755D9" w:rsidP="00F755D9">
            <w:pPr>
              <w:keepNext/>
              <w:spacing w:before="60" w:after="60" w:line="240" w:lineRule="auto"/>
              <w:rPr>
                <w:rFonts w:ascii="Arial" w:eastAsia="Calibri" w:hAnsi="Arial" w:cs="Arial"/>
                <w:i/>
                <w:lang w:eastAsia="en-ZA"/>
              </w:rPr>
            </w:pPr>
            <w:r w:rsidRPr="00F755D9">
              <w:rPr>
                <w:rFonts w:ascii="Arial" w:eastAsia="Calibri" w:hAnsi="Arial" w:cs="Arial"/>
                <w:b/>
              </w:rPr>
              <w:t>Required Respo</w:t>
            </w:r>
            <w:bookmarkStart w:id="1" w:name="_GoBack"/>
            <w:bookmarkEnd w:id="1"/>
            <w:r w:rsidRPr="00F755D9">
              <w:rPr>
                <w:rFonts w:ascii="Arial" w:eastAsia="Calibri" w:hAnsi="Arial" w:cs="Arial"/>
                <w:b/>
              </w:rPr>
              <w:t>nse</w:t>
            </w:r>
          </w:p>
        </w:tc>
        <w:tc>
          <w:tcPr>
            <w:tcW w:w="748"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keepNext/>
              <w:spacing w:line="240" w:lineRule="auto"/>
              <w:jc w:val="center"/>
              <w:rPr>
                <w:rFonts w:ascii="Arial" w:eastAsia="Calibri" w:hAnsi="Arial" w:cs="Arial"/>
              </w:rPr>
            </w:pPr>
            <w:r w:rsidRPr="00F755D9">
              <w:rPr>
                <w:rFonts w:ascii="Arial" w:eastAsia="Calibri" w:hAnsi="Arial" w:cs="Arial"/>
                <w:b/>
              </w:rPr>
              <w:t>Current Status (%)</w:t>
            </w:r>
          </w:p>
        </w:tc>
        <w:tc>
          <w:tcPr>
            <w:tcW w:w="1012" w:type="pct"/>
            <w:tcBorders>
              <w:top w:val="double" w:sz="4" w:space="0" w:color="auto"/>
              <w:left w:val="double" w:sz="4" w:space="0" w:color="auto"/>
              <w:bottom w:val="double" w:sz="4" w:space="0" w:color="auto"/>
              <w:right w:val="double" w:sz="4" w:space="0" w:color="auto"/>
            </w:tcBorders>
            <w:shd w:val="clear" w:color="auto" w:fill="548DD4"/>
            <w:vAlign w:val="center"/>
          </w:tcPr>
          <w:p w:rsidR="00F755D9" w:rsidRPr="00F755D9" w:rsidRDefault="00F755D9" w:rsidP="00F755D9">
            <w:pPr>
              <w:keepNext/>
              <w:spacing w:line="240" w:lineRule="auto"/>
              <w:jc w:val="center"/>
              <w:rPr>
                <w:rFonts w:ascii="Arial" w:eastAsia="Calibri" w:hAnsi="Arial" w:cs="Arial"/>
              </w:rPr>
            </w:pPr>
            <w:r w:rsidRPr="00F755D9">
              <w:rPr>
                <w:rFonts w:ascii="Arial" w:eastAsia="Calibri" w:hAnsi="Arial" w:cs="Arial"/>
                <w:b/>
              </w:rPr>
              <w:t>Future Target (%)</w:t>
            </w:r>
          </w:p>
        </w:tc>
      </w:tr>
      <w:tr w:rsidR="00F755D9" w:rsidRPr="00F755D9" w:rsidTr="00B37961">
        <w:trPr>
          <w:trHeight w:val="1242"/>
        </w:trPr>
        <w:tc>
          <w:tcPr>
            <w:tcW w:w="1587" w:type="pct"/>
            <w:shd w:val="clear" w:color="auto" w:fill="auto"/>
          </w:tcPr>
          <w:p w:rsidR="00F755D9" w:rsidRPr="00F755D9" w:rsidRDefault="00F755D9" w:rsidP="00F755D9">
            <w:pPr>
              <w:keepNext/>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Annual value of all Supplier Development</w:t>
            </w:r>
            <w:r w:rsidRPr="00F755D9">
              <w:rPr>
                <w:rFonts w:ascii="Arial" w:eastAsia="Calibri" w:hAnsi="Arial" w:cs="Arial"/>
                <w:vertAlign w:val="superscript"/>
              </w:rPr>
              <w:footnoteReference w:id="6"/>
            </w:r>
            <w:r w:rsidRPr="00F755D9">
              <w:rPr>
                <w:rFonts w:ascii="Arial" w:eastAsia="Calibri" w:hAnsi="Arial" w:cs="Arial"/>
              </w:rPr>
              <w:t xml:space="preserve"> Contributions made by the Measured entity as a percentage of the target</w:t>
            </w:r>
          </w:p>
        </w:tc>
        <w:tc>
          <w:tcPr>
            <w:tcW w:w="1653" w:type="pct"/>
          </w:tcPr>
          <w:p w:rsidR="00F755D9" w:rsidRPr="00F755D9" w:rsidRDefault="00F755D9" w:rsidP="00F755D9">
            <w:pPr>
              <w:keepNext/>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percentage in your organisation’s annual spend on Supplier Development initiatives, will be maintained or improved over the contract period.</w:t>
            </w:r>
          </w:p>
          <w:p w:rsidR="00F755D9" w:rsidRPr="00F755D9" w:rsidRDefault="00F755D9" w:rsidP="00F755D9">
            <w:pPr>
              <w:keepNext/>
              <w:spacing w:before="60" w:after="60" w:line="240" w:lineRule="auto"/>
              <w:rPr>
                <w:rFonts w:ascii="Arial" w:eastAsia="Calibri" w:hAnsi="Arial" w:cs="Arial"/>
                <w:i/>
                <w:lang w:eastAsia="en-ZA"/>
              </w:rPr>
            </w:pP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keepNext/>
              <w:spacing w:line="240" w:lineRule="auto"/>
              <w:jc w:val="center"/>
              <w:rPr>
                <w:rFonts w:ascii="Arial" w:eastAsia="Calibri" w:hAnsi="Arial" w:cs="Arial"/>
              </w:rPr>
            </w:pPr>
          </w:p>
        </w:tc>
      </w:tr>
      <w:tr w:rsidR="00F755D9" w:rsidRPr="00F755D9" w:rsidTr="00B37961">
        <w:tc>
          <w:tcPr>
            <w:tcW w:w="1587" w:type="pct"/>
            <w:shd w:val="clear" w:color="auto" w:fill="D9D9D9"/>
            <w:vAlign w:val="center"/>
          </w:tcPr>
          <w:p w:rsidR="00F755D9" w:rsidRPr="00F755D9" w:rsidRDefault="00F755D9" w:rsidP="00F755D9">
            <w:pPr>
              <w:keepNext/>
              <w:spacing w:after="60" w:line="240" w:lineRule="auto"/>
              <w:jc w:val="center"/>
              <w:rPr>
                <w:rFonts w:ascii="Arial" w:eastAsia="Calibri" w:hAnsi="Arial" w:cs="Arial"/>
                <w:b/>
              </w:rPr>
            </w:pPr>
            <w:r w:rsidRPr="00F755D9">
              <w:rPr>
                <w:rFonts w:ascii="Arial" w:eastAsia="Calibri" w:hAnsi="Arial" w:cs="Arial"/>
                <w:b/>
              </w:rPr>
              <w:t>ENTERPRISE DEVELOPMENT INDICATOR</w:t>
            </w:r>
          </w:p>
        </w:tc>
        <w:tc>
          <w:tcPr>
            <w:tcW w:w="1653" w:type="pct"/>
            <w:shd w:val="clear" w:color="auto" w:fill="D9D9D9"/>
            <w:vAlign w:val="center"/>
          </w:tcPr>
          <w:p w:rsidR="00F755D9" w:rsidRPr="00F755D9" w:rsidRDefault="00F755D9" w:rsidP="00F755D9">
            <w:pPr>
              <w:keepNext/>
              <w:jc w:val="center"/>
              <w:rPr>
                <w:rFonts w:ascii="Arial" w:eastAsia="Calibri" w:hAnsi="Arial" w:cs="Arial"/>
                <w:b/>
              </w:rPr>
            </w:pPr>
            <w:r w:rsidRPr="00F755D9">
              <w:rPr>
                <w:rFonts w:ascii="Arial" w:eastAsia="Calibri" w:hAnsi="Arial" w:cs="Arial"/>
                <w:b/>
              </w:rPr>
              <w:t>Required Response</w:t>
            </w:r>
          </w:p>
        </w:tc>
        <w:tc>
          <w:tcPr>
            <w:tcW w:w="748" w:type="pct"/>
            <w:shd w:val="clear" w:color="auto" w:fill="548DD4"/>
            <w:vAlign w:val="center"/>
          </w:tcPr>
          <w:p w:rsidR="00F755D9" w:rsidRPr="00F755D9" w:rsidRDefault="00F755D9" w:rsidP="00F755D9">
            <w:pPr>
              <w:keepNext/>
              <w:spacing w:after="60" w:line="240" w:lineRule="auto"/>
              <w:jc w:val="center"/>
              <w:rPr>
                <w:rFonts w:ascii="Arial" w:eastAsia="Calibri" w:hAnsi="Arial" w:cs="Arial"/>
                <w:b/>
              </w:rPr>
            </w:pPr>
            <w:r w:rsidRPr="00F755D9">
              <w:rPr>
                <w:rFonts w:ascii="Arial" w:eastAsia="Calibri" w:hAnsi="Arial" w:cs="Arial"/>
                <w:b/>
              </w:rPr>
              <w:t>Current Status (%)</w:t>
            </w:r>
          </w:p>
        </w:tc>
        <w:tc>
          <w:tcPr>
            <w:tcW w:w="1012" w:type="pct"/>
            <w:shd w:val="clear" w:color="auto" w:fill="548DD4"/>
            <w:vAlign w:val="center"/>
          </w:tcPr>
          <w:p w:rsidR="00F755D9" w:rsidRPr="00F755D9" w:rsidRDefault="00F755D9" w:rsidP="00F755D9">
            <w:pPr>
              <w:keepNext/>
              <w:spacing w:after="60" w:line="240" w:lineRule="auto"/>
              <w:jc w:val="center"/>
              <w:rPr>
                <w:rFonts w:ascii="Arial" w:eastAsia="Calibri" w:hAnsi="Arial" w:cs="Arial"/>
                <w:b/>
              </w:rPr>
            </w:pPr>
            <w:r w:rsidRPr="00F755D9">
              <w:rPr>
                <w:rFonts w:ascii="Arial" w:eastAsia="Calibri" w:hAnsi="Arial" w:cs="Arial"/>
                <w:b/>
              </w:rPr>
              <w:t>Future Target (%)</w:t>
            </w:r>
          </w:p>
        </w:tc>
      </w:tr>
      <w:tr w:rsidR="00F755D9" w:rsidRPr="00F755D9" w:rsidTr="00B37961">
        <w:trPr>
          <w:trHeight w:val="287"/>
        </w:trPr>
        <w:tc>
          <w:tcPr>
            <w:tcW w:w="1587" w:type="pct"/>
            <w:shd w:val="clear" w:color="auto" w:fill="auto"/>
          </w:tcPr>
          <w:p w:rsidR="00F755D9" w:rsidRPr="00F755D9" w:rsidRDefault="00F755D9" w:rsidP="00F755D9">
            <w:pPr>
              <w:numPr>
                <w:ilvl w:val="0"/>
                <w:numId w:val="1"/>
              </w:numPr>
              <w:spacing w:before="60" w:after="60" w:line="240" w:lineRule="auto"/>
              <w:ind w:left="426" w:hanging="426"/>
              <w:rPr>
                <w:rFonts w:ascii="Arial" w:eastAsia="Calibri" w:hAnsi="Arial" w:cs="Arial"/>
              </w:rPr>
            </w:pPr>
            <w:r w:rsidRPr="00F755D9">
              <w:rPr>
                <w:rFonts w:ascii="Arial" w:eastAsia="Calibri" w:hAnsi="Arial" w:cs="Arial"/>
              </w:rPr>
              <w:t>The organisation’s annual spend on Enterprise Development</w:t>
            </w:r>
            <w:r w:rsidRPr="00F755D9">
              <w:rPr>
                <w:rFonts w:ascii="Arial" w:eastAsia="Calibri" w:hAnsi="Arial" w:cs="Arial"/>
                <w:vertAlign w:val="superscript"/>
              </w:rPr>
              <w:footnoteReference w:id="7"/>
            </w:r>
            <w:r w:rsidRPr="00F755D9">
              <w:rPr>
                <w:rFonts w:ascii="Arial" w:eastAsia="Calibri" w:hAnsi="Arial" w:cs="Arial"/>
              </w:rPr>
              <w:t xml:space="preserve"> as a percentage of Net Profit after Tax [NPAT]</w:t>
            </w:r>
          </w:p>
        </w:tc>
        <w:tc>
          <w:tcPr>
            <w:tcW w:w="1653" w:type="pct"/>
          </w:tcPr>
          <w:p w:rsidR="00F755D9" w:rsidRPr="00F755D9" w:rsidRDefault="00F755D9" w:rsidP="00F755D9">
            <w:pPr>
              <w:spacing w:before="60" w:after="60" w:line="240" w:lineRule="auto"/>
              <w:rPr>
                <w:rFonts w:ascii="Arial" w:eastAsia="Calibri" w:hAnsi="Arial" w:cs="Arial"/>
                <w:i/>
                <w:lang w:eastAsia="en-ZA"/>
              </w:rPr>
            </w:pPr>
            <w:r w:rsidRPr="00F755D9">
              <w:rPr>
                <w:rFonts w:ascii="Arial" w:eastAsia="Calibri" w:hAnsi="Arial" w:cs="Arial"/>
                <w:i/>
                <w:lang w:eastAsia="en-ZA"/>
              </w:rPr>
              <w:t>Provide a commitment based on the retention or increase in your organisation’s annual spend on Enterprise Development initiatives, as a percentage of its Net Profit after Tax, over the contract period.</w:t>
            </w:r>
          </w:p>
        </w:tc>
        <w:tc>
          <w:tcPr>
            <w:tcW w:w="748"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c>
          <w:tcPr>
            <w:tcW w:w="1012" w:type="pct"/>
            <w:tcBorders>
              <w:top w:val="double" w:sz="4" w:space="0" w:color="auto"/>
              <w:left w:val="double" w:sz="4" w:space="0" w:color="auto"/>
              <w:bottom w:val="double" w:sz="4" w:space="0" w:color="auto"/>
              <w:right w:val="double" w:sz="4" w:space="0" w:color="auto"/>
            </w:tcBorders>
          </w:tcPr>
          <w:p w:rsidR="00F755D9" w:rsidRPr="00F755D9" w:rsidRDefault="00F755D9" w:rsidP="00F755D9">
            <w:pPr>
              <w:spacing w:line="240" w:lineRule="auto"/>
              <w:jc w:val="center"/>
              <w:rPr>
                <w:rFonts w:ascii="Arial" w:eastAsia="Calibri" w:hAnsi="Arial" w:cs="Arial"/>
              </w:rPr>
            </w:pPr>
          </w:p>
        </w:tc>
      </w:tr>
    </w:tbl>
    <w:p w:rsidR="00F755D9" w:rsidRPr="00F755D9" w:rsidRDefault="00F755D9" w:rsidP="00F755D9">
      <w:pPr>
        <w:rPr>
          <w:rFonts w:ascii="Arial" w:eastAsia="Calibri" w:hAnsi="Arial" w:cs="Arial"/>
        </w:rPr>
      </w:pPr>
    </w:p>
    <w:p w:rsidR="00F755D9" w:rsidRPr="00F755D9" w:rsidRDefault="00F755D9" w:rsidP="00F755D9">
      <w:pPr>
        <w:tabs>
          <w:tab w:val="right" w:pos="9072"/>
        </w:tabs>
        <w:spacing w:after="0" w:line="360" w:lineRule="auto"/>
        <w:jc w:val="both"/>
        <w:rPr>
          <w:rFonts w:ascii="Arial" w:eastAsia="Times New Roman" w:hAnsi="Arial" w:cs="Arial"/>
          <w:lang w:val="en-GB" w:eastAsia="en-GB"/>
        </w:rPr>
      </w:pPr>
      <w:r w:rsidRPr="00F755D9">
        <w:rPr>
          <w:rFonts w:ascii="Arial" w:eastAsia="Times New Roman" w:hAnsi="Arial" w:cs="Arial"/>
          <w:lang w:val="en-GB" w:eastAsia="en-GB"/>
        </w:rPr>
        <w:tab/>
      </w:r>
      <w:r w:rsidRPr="00F755D9">
        <w:rPr>
          <w:rFonts w:ascii="Arial" w:eastAsia="Times New Roman" w:hAnsi="Arial" w:cs="Arial"/>
          <w:lang w:val="en-GB" w:eastAsia="en-GB"/>
        </w:rPr>
        <w:tab/>
        <w:t xml:space="preserve">                                                 ____________________________                                              ____________________________ </w:t>
      </w:r>
    </w:p>
    <w:p w:rsidR="00F755D9" w:rsidRPr="00F755D9" w:rsidRDefault="00F755D9" w:rsidP="00F755D9">
      <w:pPr>
        <w:jc w:val="both"/>
        <w:rPr>
          <w:rFonts w:ascii="Arial" w:eastAsia="Calibri" w:hAnsi="Arial" w:cs="Arial"/>
        </w:rPr>
      </w:pPr>
      <w:r w:rsidRPr="00F755D9">
        <w:rPr>
          <w:rFonts w:ascii="Arial" w:eastAsia="Calibri" w:hAnsi="Arial" w:cs="Arial"/>
          <w:b/>
        </w:rPr>
        <w:t>Respondent’s Signature</w:t>
      </w:r>
      <w:r w:rsidRPr="00F755D9">
        <w:rPr>
          <w:rFonts w:ascii="Arial" w:eastAsia="Calibri" w:hAnsi="Arial" w:cs="Arial"/>
        </w:rPr>
        <w:t xml:space="preserve"> </w:t>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rPr>
        <w:tab/>
      </w:r>
      <w:r w:rsidRPr="00F755D9">
        <w:rPr>
          <w:rFonts w:ascii="Arial" w:eastAsia="Calibri" w:hAnsi="Arial" w:cs="Arial"/>
          <w:b/>
        </w:rPr>
        <w:t>Date</w:t>
      </w:r>
      <w:r w:rsidRPr="00F755D9">
        <w:rPr>
          <w:rFonts w:ascii="Arial" w:eastAsia="Calibri" w:hAnsi="Arial" w:cs="Arial"/>
        </w:rPr>
        <w:t xml:space="preserve"> </w:t>
      </w:r>
    </w:p>
    <w:p w:rsidR="001F233C" w:rsidRDefault="001F233C"/>
    <w:sectPr w:rsidR="001F233C" w:rsidSect="0062308B">
      <w:headerReference w:type="default" r:id="rId12"/>
      <w:pgSz w:w="16838" w:h="11906" w:orient="landscape"/>
      <w:pgMar w:top="567" w:right="1134" w:bottom="1134" w:left="1503"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08" w:rsidRDefault="001E1308" w:rsidP="00F755D9">
      <w:pPr>
        <w:spacing w:after="0" w:line="240" w:lineRule="auto"/>
      </w:pPr>
      <w:r>
        <w:separator/>
      </w:r>
    </w:p>
  </w:endnote>
  <w:endnote w:type="continuationSeparator" w:id="0">
    <w:p w:rsidR="001E1308" w:rsidRDefault="001E1308" w:rsidP="00F7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D9" w:rsidRPr="007B35B6" w:rsidRDefault="00F755D9" w:rsidP="000F49CF">
    <w:pPr>
      <w:pStyle w:val="TransnetNormal"/>
      <w:tabs>
        <w:tab w:val="right" w:pos="9072"/>
      </w:tabs>
      <w:ind w:left="0"/>
      <w:rPr>
        <w:color w:val="5F5F5F"/>
        <w:szCs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08" w:rsidRDefault="001E1308" w:rsidP="00F755D9">
      <w:pPr>
        <w:spacing w:after="0" w:line="240" w:lineRule="auto"/>
      </w:pPr>
      <w:r>
        <w:separator/>
      </w:r>
    </w:p>
  </w:footnote>
  <w:footnote w:type="continuationSeparator" w:id="0">
    <w:p w:rsidR="001E1308" w:rsidRDefault="001E1308" w:rsidP="00F755D9">
      <w:pPr>
        <w:spacing w:after="0" w:line="240" w:lineRule="auto"/>
      </w:pPr>
      <w:r>
        <w:continuationSeparator/>
      </w:r>
    </w:p>
  </w:footnote>
  <w:footnote w:id="1">
    <w:p w:rsidR="00F755D9" w:rsidRPr="004976AF" w:rsidRDefault="00F755D9" w:rsidP="003576F9">
      <w:pPr>
        <w:pStyle w:val="FootnoteText"/>
        <w:jc w:val="both"/>
        <w:rPr>
          <w:rFonts w:ascii="Tahoma" w:hAnsi="Tahoma" w:cs="Tahoma"/>
          <w:sz w:val="16"/>
          <w:szCs w:val="16"/>
        </w:rPr>
      </w:pPr>
      <w:r w:rsidRPr="004976AF">
        <w:rPr>
          <w:rFonts w:ascii="Tahoma" w:hAnsi="Tahoma" w:cs="Tahoma"/>
          <w:sz w:val="16"/>
          <w:szCs w:val="16"/>
        </w:rPr>
        <w:footnoteRef/>
      </w:r>
      <w:r w:rsidRPr="004976AF">
        <w:rPr>
          <w:rFonts w:ascii="Tahoma" w:hAnsi="Tahoma" w:cs="Tahoma"/>
          <w:sz w:val="16"/>
          <w:szCs w:val="16"/>
        </w:rPr>
        <w:t xml:space="preserve"> </w:t>
      </w:r>
      <w:r w:rsidRPr="004976AF">
        <w:rPr>
          <w:rFonts w:ascii="Tahoma" w:hAnsi="Tahoma" w:cs="Tahoma"/>
          <w:i/>
          <w:sz w:val="16"/>
          <w:szCs w:val="16"/>
        </w:rPr>
        <w:t>“</w:t>
      </w:r>
      <w:r w:rsidRPr="004976AF">
        <w:rPr>
          <w:rFonts w:ascii="Tahoma" w:hAnsi="Tahoma" w:cs="Tahoma"/>
          <w:b/>
          <w:i/>
          <w:sz w:val="16"/>
          <w:szCs w:val="16"/>
        </w:rPr>
        <w:t>Black</w:t>
      </w:r>
      <w:r w:rsidR="003576F9">
        <w:rPr>
          <w:rFonts w:ascii="Tahoma" w:hAnsi="Tahoma" w:cs="Tahoma"/>
          <w:b/>
          <w:i/>
          <w:sz w:val="16"/>
          <w:szCs w:val="16"/>
        </w:rPr>
        <w:tab/>
      </w:r>
      <w:r w:rsidRPr="004976AF">
        <w:rPr>
          <w:rFonts w:ascii="Tahoma" w:hAnsi="Tahoma" w:cs="Tahoma"/>
          <w:i/>
          <w:sz w:val="16"/>
          <w:szCs w:val="16"/>
        </w:rPr>
        <w:t xml:space="preserve">”  means </w:t>
      </w:r>
      <w:r w:rsidR="003576F9">
        <w:rPr>
          <w:rFonts w:ascii="Tahoma" w:hAnsi="Tahoma" w:cs="Tahoma"/>
          <w:i/>
          <w:sz w:val="16"/>
          <w:szCs w:val="16"/>
        </w:rPr>
        <w:tab/>
      </w:r>
      <w:r w:rsidRPr="004976AF">
        <w:rPr>
          <w:rFonts w:ascii="Tahoma" w:hAnsi="Tahoma" w:cs="Tahoma"/>
          <w:i/>
          <w:sz w:val="16"/>
          <w:szCs w:val="16"/>
        </w:rPr>
        <w:t xml:space="preserve">South African </w:t>
      </w:r>
      <w:r w:rsidR="003576F9">
        <w:rPr>
          <w:rFonts w:ascii="Tahoma" w:hAnsi="Tahoma" w:cs="Tahoma"/>
          <w:i/>
          <w:sz w:val="16"/>
          <w:szCs w:val="16"/>
        </w:rPr>
        <w:t xml:space="preserve"> </w:t>
      </w:r>
      <w:r w:rsidRPr="004976AF">
        <w:rPr>
          <w:rFonts w:ascii="Tahoma" w:hAnsi="Tahoma" w:cs="Tahoma"/>
          <w:i/>
          <w:sz w:val="16"/>
          <w:szCs w:val="16"/>
        </w:rPr>
        <w:t>Blacks, Coloureds and Indians , as defined in the B-BBEE Act, 53 of 2003</w:t>
      </w:r>
    </w:p>
  </w:footnote>
  <w:footnote w:id="2">
    <w:p w:rsidR="00F755D9" w:rsidRPr="004976AF" w:rsidRDefault="00F755D9" w:rsidP="00F755D9">
      <w:pPr>
        <w:pStyle w:val="FootnoteText"/>
        <w:jc w:val="both"/>
        <w:rPr>
          <w:rFonts w:ascii="Tahoma" w:hAnsi="Tahoma" w:cs="Tahoma"/>
          <w:sz w:val="16"/>
          <w:szCs w:val="16"/>
        </w:rPr>
      </w:pPr>
      <w:r w:rsidRPr="004976AF">
        <w:rPr>
          <w:rFonts w:ascii="Tahoma" w:hAnsi="Tahoma" w:cs="Tahoma"/>
          <w:sz w:val="16"/>
          <w:szCs w:val="16"/>
        </w:rPr>
        <w:footnoteRef/>
      </w:r>
      <w:r w:rsidRPr="004976AF">
        <w:rPr>
          <w:rFonts w:ascii="Tahoma" w:hAnsi="Tahoma" w:cs="Tahoma"/>
          <w:sz w:val="16"/>
          <w:szCs w:val="16"/>
        </w:rPr>
        <w:t xml:space="preserve"> </w:t>
      </w:r>
      <w:r w:rsidRPr="004976AF">
        <w:rPr>
          <w:rFonts w:ascii="Tahoma" w:hAnsi="Tahoma" w:cs="Tahoma"/>
          <w:i/>
          <w:sz w:val="16"/>
          <w:szCs w:val="16"/>
        </w:rPr>
        <w:t>“</w:t>
      </w:r>
      <w:r w:rsidRPr="004976AF">
        <w:rPr>
          <w:rFonts w:ascii="Tahoma" w:hAnsi="Tahoma" w:cs="Tahoma"/>
          <w:b/>
          <w:i/>
          <w:sz w:val="16"/>
          <w:szCs w:val="16"/>
        </w:rPr>
        <w:t>Black youth</w:t>
      </w:r>
      <w:r w:rsidRPr="004976AF">
        <w:rPr>
          <w:rFonts w:ascii="Tahoma" w:hAnsi="Tahoma" w:cs="Tahoma"/>
          <w:i/>
          <w:sz w:val="16"/>
          <w:szCs w:val="16"/>
        </w:rPr>
        <w:t>” means Black persons from the age of 16 to 35</w:t>
      </w:r>
    </w:p>
  </w:footnote>
  <w:footnote w:id="3">
    <w:p w:rsidR="00F755D9" w:rsidRPr="004976AF" w:rsidRDefault="00F755D9" w:rsidP="00F755D9">
      <w:pPr>
        <w:pStyle w:val="FootnoteText"/>
        <w:ind w:left="142" w:hanging="142"/>
        <w:jc w:val="both"/>
        <w:rPr>
          <w:rFonts w:ascii="Tahoma" w:hAnsi="Tahoma" w:cs="Tahoma"/>
          <w:sz w:val="16"/>
          <w:szCs w:val="16"/>
        </w:rPr>
      </w:pPr>
      <w:r w:rsidRPr="004976AF">
        <w:rPr>
          <w:rFonts w:ascii="Tahoma" w:hAnsi="Tahoma" w:cs="Tahoma"/>
          <w:sz w:val="16"/>
          <w:szCs w:val="16"/>
        </w:rPr>
        <w:footnoteRef/>
      </w:r>
      <w:r w:rsidRPr="004976AF">
        <w:rPr>
          <w:rFonts w:ascii="Tahoma" w:hAnsi="Tahoma" w:cs="Tahoma"/>
          <w:sz w:val="16"/>
          <w:szCs w:val="16"/>
        </w:rPr>
        <w:t xml:space="preserve"> “</w:t>
      </w:r>
      <w:r w:rsidRPr="00F5637A">
        <w:rPr>
          <w:rFonts w:ascii="Tahoma" w:hAnsi="Tahoma" w:cs="Tahoma"/>
          <w:b/>
          <w:i/>
          <w:sz w:val="16"/>
          <w:szCs w:val="16"/>
        </w:rPr>
        <w:t xml:space="preserve">New Entrants” </w:t>
      </w:r>
      <w:r w:rsidRPr="00F5637A">
        <w:rPr>
          <w:rFonts w:ascii="Tahoma" w:hAnsi="Tahoma" w:cs="Tahoma"/>
          <w:i/>
          <w:sz w:val="16"/>
          <w:szCs w:val="16"/>
        </w:rPr>
        <w:t>means</w:t>
      </w:r>
      <w:r w:rsidRPr="00F5637A">
        <w:rPr>
          <w:rFonts w:ascii="Tahoma" w:hAnsi="Tahoma" w:cs="Tahoma"/>
          <w:sz w:val="16"/>
          <w:szCs w:val="16"/>
        </w:rPr>
        <w:t xml:space="preserve"> </w:t>
      </w:r>
      <w:r w:rsidRPr="00F5637A">
        <w:rPr>
          <w:rFonts w:ascii="Tahoma" w:hAnsi="Tahoma" w:cs="Tahoma"/>
          <w:i/>
          <w:sz w:val="16"/>
          <w:szCs w:val="16"/>
        </w:rPr>
        <w:t>an early stage business which is similar to a start-up. However, an early stage business is typically 3 years old or less.</w:t>
      </w:r>
    </w:p>
  </w:footnote>
  <w:footnote w:id="4">
    <w:p w:rsidR="00F755D9" w:rsidRPr="00741A2B" w:rsidRDefault="00F755D9" w:rsidP="00F755D9">
      <w:pPr>
        <w:pStyle w:val="FootnoteText"/>
        <w:ind w:left="284" w:hanging="142"/>
        <w:jc w:val="both"/>
        <w:rPr>
          <w:rFonts w:ascii="Tahoma" w:hAnsi="Tahoma" w:cs="Tahoma"/>
          <w:sz w:val="12"/>
          <w:szCs w:val="16"/>
        </w:rPr>
      </w:pPr>
      <w:r w:rsidRPr="00741A2B">
        <w:rPr>
          <w:rStyle w:val="FootnoteReference"/>
          <w:rFonts w:ascii="Tahoma" w:hAnsi="Tahoma" w:cs="Tahoma"/>
          <w:sz w:val="16"/>
        </w:rPr>
        <w:footnoteRef/>
      </w:r>
      <w:r w:rsidRPr="00741A2B">
        <w:rPr>
          <w:rFonts w:ascii="Tahoma" w:hAnsi="Tahoma" w:cs="Tahoma"/>
          <w:sz w:val="16"/>
        </w:rPr>
        <w:t xml:space="preserve"> </w:t>
      </w:r>
      <w:r w:rsidRPr="00741A2B">
        <w:rPr>
          <w:rFonts w:ascii="Tahoma" w:hAnsi="Tahoma" w:cs="Tahoma"/>
          <w:i/>
          <w:sz w:val="16"/>
        </w:rPr>
        <w:t>“</w:t>
      </w:r>
      <w:r w:rsidRPr="00741A2B">
        <w:rPr>
          <w:rFonts w:ascii="Tahoma" w:hAnsi="Tahoma" w:cs="Tahoma"/>
          <w:b/>
          <w:i/>
          <w:sz w:val="16"/>
        </w:rPr>
        <w:t>Empowering Suppliers</w:t>
      </w:r>
      <w:r w:rsidRPr="00741A2B">
        <w:rPr>
          <w:rFonts w:ascii="Tahoma" w:hAnsi="Tahoma" w:cs="Tahoma"/>
          <w:i/>
          <w:sz w:val="16"/>
        </w:rPr>
        <w:t>” means a B-BBEE compliant entity, which should meet at least three of the following criteria if it is a Large Enterprise or one if it is a QSE:</w:t>
      </w:r>
      <w:r w:rsidRPr="00741A2B">
        <w:rPr>
          <w:rFonts w:ascii="Tahoma" w:hAnsi="Tahoma" w:cs="Tahoma"/>
          <w:sz w:val="12"/>
          <w:szCs w:val="16"/>
        </w:rPr>
        <w:t xml:space="preserve"> </w:t>
      </w:r>
    </w:p>
    <w:p w:rsidR="00F755D9" w:rsidRPr="00741A2B" w:rsidRDefault="00F755D9" w:rsidP="00F755D9">
      <w:pPr>
        <w:pStyle w:val="FootnoteText"/>
        <w:ind w:left="284"/>
        <w:jc w:val="both"/>
        <w:rPr>
          <w:rFonts w:ascii="Tahoma" w:hAnsi="Tahoma" w:cs="Tahoma"/>
          <w:i/>
          <w:sz w:val="16"/>
        </w:rPr>
      </w:pPr>
      <w:r w:rsidRPr="00741A2B">
        <w:rPr>
          <w:rFonts w:ascii="Tahoma" w:hAnsi="Tahoma" w:cs="Tahoma"/>
          <w:i/>
          <w:sz w:val="16"/>
        </w:rPr>
        <w:t>(a) At least 25% of cost of sales excluding labour cost and depreciation must be procured from local producers or local supplier in SA, for service industry labour cost are included but capped to 15%.</w:t>
      </w:r>
    </w:p>
    <w:p w:rsidR="00F755D9" w:rsidRPr="00741A2B" w:rsidRDefault="00F755D9" w:rsidP="00F755D9">
      <w:pPr>
        <w:pStyle w:val="FootnoteText"/>
        <w:ind w:left="284"/>
        <w:jc w:val="both"/>
        <w:rPr>
          <w:rFonts w:ascii="Tahoma" w:hAnsi="Tahoma" w:cs="Tahoma"/>
          <w:i/>
          <w:sz w:val="16"/>
        </w:rPr>
      </w:pPr>
      <w:r w:rsidRPr="00741A2B">
        <w:rPr>
          <w:rFonts w:ascii="Tahoma" w:hAnsi="Tahoma" w:cs="Tahoma"/>
          <w:i/>
          <w:sz w:val="16"/>
        </w:rPr>
        <w:t>(b) Job creation - 50% of jobs created are for Black people provided that the number of Black employees since the immediate prior verified B-BBEE Measurement is maintained.</w:t>
      </w:r>
    </w:p>
    <w:p w:rsidR="00F755D9" w:rsidRPr="00741A2B" w:rsidRDefault="00F755D9" w:rsidP="00F755D9">
      <w:pPr>
        <w:pStyle w:val="FootnoteText"/>
        <w:ind w:left="284"/>
        <w:jc w:val="both"/>
        <w:rPr>
          <w:rFonts w:ascii="Tahoma" w:hAnsi="Tahoma" w:cs="Tahoma"/>
          <w:i/>
          <w:sz w:val="16"/>
        </w:rPr>
      </w:pPr>
      <w:r w:rsidRPr="00741A2B">
        <w:rPr>
          <w:rFonts w:ascii="Tahoma" w:hAnsi="Tahoma" w:cs="Tahoma"/>
          <w:i/>
          <w:sz w:val="16"/>
        </w:rPr>
        <w:t>(c) At least 25% transformation of raw material/beneficiation which include local manufacturing, production and/or assembly, and/or packaging</w:t>
      </w:r>
      <w:r w:rsidRPr="00741A2B">
        <w:rPr>
          <w:i/>
        </w:rPr>
        <w:t>.</w:t>
      </w:r>
    </w:p>
    <w:p w:rsidR="00F755D9" w:rsidRPr="00741A2B" w:rsidRDefault="00F755D9" w:rsidP="00F755D9">
      <w:pPr>
        <w:pStyle w:val="FootnoteText"/>
        <w:ind w:left="284"/>
        <w:jc w:val="both"/>
        <w:rPr>
          <w:rFonts w:ascii="Tahoma" w:hAnsi="Tahoma" w:cs="Tahoma"/>
          <w:i/>
          <w:sz w:val="16"/>
        </w:rPr>
      </w:pPr>
      <w:r w:rsidRPr="00741A2B">
        <w:rPr>
          <w:rFonts w:ascii="Tahoma" w:hAnsi="Tahoma" w:cs="Tahoma"/>
          <w:i/>
          <w:sz w:val="16"/>
        </w:rPr>
        <w:t>(d) Skills transfer - at least spend 12 days per annum of productivity deployed in assisting Black EMEs and QSEs beneficiaries to increase their operation or financial capacity.</w:t>
      </w:r>
    </w:p>
  </w:footnote>
  <w:footnote w:id="5">
    <w:p w:rsidR="00F755D9" w:rsidRDefault="00F755D9" w:rsidP="00F755D9">
      <w:pPr>
        <w:pStyle w:val="FootnoteText"/>
        <w:jc w:val="both"/>
        <w:rPr>
          <w:rFonts w:ascii="Tahoma" w:hAnsi="Tahoma" w:cs="Tahoma"/>
          <w:i/>
          <w:sz w:val="16"/>
        </w:rPr>
      </w:pPr>
      <w:r>
        <w:rPr>
          <w:rStyle w:val="FootnoteReference"/>
        </w:rPr>
        <w:footnoteRef/>
      </w:r>
      <w:r>
        <w:t xml:space="preserve"> </w:t>
      </w:r>
      <w:r>
        <w:rPr>
          <w:rFonts w:ascii="Tahoma" w:hAnsi="Tahoma" w:cs="Tahoma"/>
          <w:i/>
          <w:sz w:val="16"/>
        </w:rPr>
        <w:t>“</w:t>
      </w:r>
      <w:r>
        <w:rPr>
          <w:rFonts w:ascii="Tahoma" w:hAnsi="Tahoma" w:cs="Tahoma"/>
          <w:b/>
          <w:i/>
          <w:sz w:val="16"/>
        </w:rPr>
        <w:t xml:space="preserve">Designated Groups” </w:t>
      </w:r>
      <w:r>
        <w:rPr>
          <w:rFonts w:ascii="Tahoma" w:hAnsi="Tahoma" w:cs="Tahoma"/>
          <w:i/>
          <w:sz w:val="16"/>
        </w:rPr>
        <w:t>means:</w:t>
      </w:r>
    </w:p>
    <w:p w:rsidR="00F755D9" w:rsidRDefault="00F755D9" w:rsidP="00F755D9">
      <w:pPr>
        <w:pStyle w:val="FootnoteText"/>
        <w:numPr>
          <w:ilvl w:val="0"/>
          <w:numId w:val="2"/>
        </w:numPr>
        <w:jc w:val="both"/>
        <w:rPr>
          <w:rFonts w:ascii="Tahoma" w:hAnsi="Tahoma" w:cs="Tahoma"/>
          <w:i/>
          <w:sz w:val="16"/>
        </w:rPr>
      </w:pPr>
      <w:r>
        <w:rPr>
          <w:rFonts w:ascii="Tahoma" w:hAnsi="Tahoma" w:cs="Tahoma"/>
          <w:i/>
          <w:sz w:val="16"/>
        </w:rPr>
        <w:t>unemployed black people not attending and required by law to attend an educational institution and not awaiting admission to an educational institution;</w:t>
      </w:r>
    </w:p>
    <w:p w:rsidR="00F755D9" w:rsidRDefault="00F755D9" w:rsidP="00F755D9">
      <w:pPr>
        <w:pStyle w:val="FootnoteText"/>
        <w:numPr>
          <w:ilvl w:val="0"/>
          <w:numId w:val="2"/>
        </w:numPr>
        <w:jc w:val="both"/>
        <w:rPr>
          <w:rFonts w:ascii="Tahoma" w:hAnsi="Tahoma" w:cs="Tahoma"/>
          <w:i/>
          <w:sz w:val="16"/>
        </w:rPr>
      </w:pPr>
      <w:r>
        <w:rPr>
          <w:rFonts w:ascii="Tahoma" w:hAnsi="Tahoma" w:cs="Tahoma"/>
          <w:i/>
          <w:sz w:val="16"/>
        </w:rPr>
        <w:t>black people who are youth as defined in the National Youth Commission Act of 1996;</w:t>
      </w:r>
    </w:p>
    <w:p w:rsidR="00F755D9" w:rsidRDefault="00F755D9" w:rsidP="00F755D9">
      <w:pPr>
        <w:pStyle w:val="FootnoteText"/>
        <w:numPr>
          <w:ilvl w:val="0"/>
          <w:numId w:val="2"/>
        </w:numPr>
        <w:jc w:val="both"/>
        <w:rPr>
          <w:rFonts w:ascii="Tahoma" w:hAnsi="Tahoma" w:cs="Tahoma"/>
          <w:i/>
          <w:sz w:val="16"/>
        </w:rPr>
      </w:pPr>
      <w:r>
        <w:rPr>
          <w:rFonts w:ascii="Tahoma" w:hAnsi="Tahoma" w:cs="Tahoma"/>
          <w:i/>
          <w:sz w:val="16"/>
        </w:rPr>
        <w:t>black people who are persons with disabilities as defined in the Codes of Good Practice on employment of people with disabilities issued under the Employment Equity Act;</w:t>
      </w:r>
    </w:p>
    <w:p w:rsidR="00F755D9" w:rsidRDefault="00F755D9" w:rsidP="00F755D9">
      <w:pPr>
        <w:pStyle w:val="FootnoteText"/>
        <w:numPr>
          <w:ilvl w:val="0"/>
          <w:numId w:val="2"/>
        </w:numPr>
        <w:jc w:val="both"/>
        <w:rPr>
          <w:rFonts w:ascii="Tahoma" w:hAnsi="Tahoma" w:cs="Tahoma"/>
          <w:i/>
          <w:sz w:val="16"/>
        </w:rPr>
      </w:pPr>
      <w:r>
        <w:rPr>
          <w:rFonts w:ascii="Tahoma" w:hAnsi="Tahoma" w:cs="Tahoma"/>
          <w:i/>
          <w:sz w:val="16"/>
        </w:rPr>
        <w:t>black people living in rural and under developed areas; and</w:t>
      </w:r>
    </w:p>
    <w:p w:rsidR="00F755D9" w:rsidRPr="00A0444D" w:rsidRDefault="00F755D9" w:rsidP="00F755D9">
      <w:pPr>
        <w:pStyle w:val="FootnoteText"/>
        <w:numPr>
          <w:ilvl w:val="0"/>
          <w:numId w:val="2"/>
        </w:numPr>
        <w:jc w:val="both"/>
        <w:rPr>
          <w:rFonts w:ascii="Tahoma" w:hAnsi="Tahoma" w:cs="Tahoma"/>
          <w:i/>
          <w:sz w:val="16"/>
        </w:rPr>
      </w:pPr>
      <w:proofErr w:type="gramStart"/>
      <w:r>
        <w:rPr>
          <w:rFonts w:ascii="Tahoma" w:hAnsi="Tahoma" w:cs="Tahoma"/>
          <w:i/>
          <w:sz w:val="16"/>
        </w:rPr>
        <w:t>black</w:t>
      </w:r>
      <w:proofErr w:type="gramEnd"/>
      <w:r>
        <w:rPr>
          <w:rFonts w:ascii="Tahoma" w:hAnsi="Tahoma" w:cs="Tahoma"/>
          <w:i/>
          <w:sz w:val="16"/>
        </w:rPr>
        <w:t xml:space="preserve"> military veterans who qualifies to be called a military veteran in terms of the Military Veterans Act 18 of 2011.</w:t>
      </w:r>
    </w:p>
  </w:footnote>
  <w:footnote w:id="6">
    <w:p w:rsidR="00F755D9" w:rsidRPr="00A157EF" w:rsidRDefault="00F755D9" w:rsidP="00F755D9">
      <w:pPr>
        <w:pStyle w:val="FootnoteText"/>
        <w:ind w:left="284" w:hanging="142"/>
        <w:jc w:val="both"/>
        <w:rPr>
          <w:rFonts w:ascii="Tahoma" w:hAnsi="Tahoma" w:cs="Tahoma"/>
          <w:i/>
          <w:sz w:val="16"/>
          <w:szCs w:val="16"/>
        </w:rPr>
      </w:pPr>
      <w:r>
        <w:rPr>
          <w:rStyle w:val="FootnoteReference"/>
        </w:rPr>
        <w:footnoteRef/>
      </w:r>
      <w:r>
        <w:t xml:space="preserve"> “</w:t>
      </w:r>
      <w:r w:rsidRPr="00A157EF">
        <w:rPr>
          <w:rFonts w:ascii="Tahoma" w:hAnsi="Tahoma" w:cs="Tahoma"/>
          <w:b/>
          <w:i/>
          <w:sz w:val="16"/>
          <w:szCs w:val="16"/>
        </w:rPr>
        <w:t>Supplier Development</w:t>
      </w:r>
      <w:r w:rsidRPr="00A157EF">
        <w:rPr>
          <w:rFonts w:ascii="Tahoma" w:hAnsi="Tahoma" w:cs="Tahoma"/>
          <w:sz w:val="16"/>
          <w:szCs w:val="16"/>
        </w:rPr>
        <w:t>” me</w:t>
      </w:r>
      <w:r w:rsidRPr="00A157EF">
        <w:rPr>
          <w:rFonts w:ascii="Tahoma" w:hAnsi="Tahoma" w:cs="Tahoma"/>
          <w:i/>
          <w:sz w:val="16"/>
          <w:szCs w:val="16"/>
        </w:rPr>
        <w:t>ans monetary or non-monetary contributions carried out for the benefit of value-adding suppliers to the Measured Entity, with the objective of contributing to the development, sustainability and financial and operational independence of those beneficiaries:</w:t>
      </w:r>
    </w:p>
    <w:p w:rsidR="00F755D9" w:rsidRDefault="00F755D9" w:rsidP="00F755D9">
      <w:pPr>
        <w:pStyle w:val="FootnoteText"/>
        <w:numPr>
          <w:ilvl w:val="0"/>
          <w:numId w:val="3"/>
        </w:numPr>
        <w:jc w:val="both"/>
        <w:rPr>
          <w:rFonts w:ascii="Tahoma" w:hAnsi="Tahoma" w:cs="Tahoma"/>
          <w:i/>
          <w:sz w:val="16"/>
          <w:szCs w:val="16"/>
        </w:rPr>
      </w:pPr>
      <w:r w:rsidRPr="00A157EF">
        <w:rPr>
          <w:rFonts w:ascii="Tahoma" w:hAnsi="Tahoma" w:cs="Tahoma"/>
          <w:i/>
          <w:sz w:val="16"/>
          <w:szCs w:val="16"/>
        </w:rPr>
        <w:t xml:space="preserve">Supplier Development Contributions to suppliers that are Exempted Micro-Enterprises or Qualifying Small Enterprises which are at least 51% black owned or at </w:t>
      </w:r>
      <w:r>
        <w:rPr>
          <w:rFonts w:ascii="Tahoma" w:hAnsi="Tahoma" w:cs="Tahoma"/>
          <w:i/>
          <w:sz w:val="16"/>
          <w:szCs w:val="16"/>
        </w:rPr>
        <w:t>least 51% black women owned.</w:t>
      </w:r>
    </w:p>
    <w:p w:rsidR="00F755D9" w:rsidRPr="00A157EF" w:rsidRDefault="00F755D9" w:rsidP="00F755D9">
      <w:pPr>
        <w:pStyle w:val="FootnoteText"/>
        <w:ind w:left="284"/>
        <w:jc w:val="both"/>
      </w:pPr>
      <w:r>
        <w:rPr>
          <w:rFonts w:ascii="Tahoma" w:hAnsi="Tahoma" w:cs="Tahoma"/>
          <w:i/>
          <w:sz w:val="16"/>
          <w:szCs w:val="16"/>
        </w:rPr>
        <w:t>Supplier Development within the contest of the B-BBEE scorecard must be differentiated from South African Airways’ Supplier Development Initiatives. Whereas the former relates to the definition above, the latter relates to improving the socio-economic environment through initiatives that are committed to as part of a contract award that contribute to the development of a competitive supplier base in relation to a particular industry.</w:t>
      </w:r>
    </w:p>
  </w:footnote>
  <w:footnote w:id="7">
    <w:p w:rsidR="00F755D9" w:rsidRDefault="00F755D9" w:rsidP="00F755D9">
      <w:pPr>
        <w:pStyle w:val="FootnoteText"/>
        <w:ind w:left="284" w:hanging="142"/>
        <w:jc w:val="both"/>
      </w:pPr>
      <w:r w:rsidRPr="00A157EF">
        <w:rPr>
          <w:rStyle w:val="FootnoteReference"/>
          <w:rFonts w:ascii="Tahoma" w:hAnsi="Tahoma" w:cs="Tahoma"/>
          <w:sz w:val="18"/>
          <w:szCs w:val="16"/>
        </w:rPr>
        <w:footnoteRef/>
      </w:r>
      <w:r w:rsidRPr="00A157EF">
        <w:rPr>
          <w:rFonts w:ascii="Tahoma" w:hAnsi="Tahoma" w:cs="Tahoma"/>
          <w:sz w:val="18"/>
          <w:szCs w:val="16"/>
        </w:rPr>
        <w:t xml:space="preserve"> </w:t>
      </w:r>
      <w:r w:rsidRPr="0043246A">
        <w:rPr>
          <w:rFonts w:ascii="Tahoma" w:hAnsi="Tahoma" w:cs="Tahoma"/>
          <w:b/>
          <w:i/>
          <w:sz w:val="16"/>
          <w:szCs w:val="16"/>
        </w:rPr>
        <w:t>“Enterprise Development”</w:t>
      </w:r>
      <w:r w:rsidRPr="0043246A">
        <w:rPr>
          <w:rFonts w:ascii="Tahoma" w:hAnsi="Tahoma" w:cs="Tahoma"/>
          <w:i/>
          <w:sz w:val="16"/>
          <w:szCs w:val="16"/>
        </w:rPr>
        <w:t xml:space="preserve"> means </w:t>
      </w:r>
      <w:r w:rsidRPr="00A157EF">
        <w:rPr>
          <w:rFonts w:ascii="Tahoma" w:hAnsi="Tahoma" w:cs="Tahoma"/>
          <w:i/>
          <w:sz w:val="16"/>
          <w:szCs w:val="16"/>
        </w:rPr>
        <w:t>monetary and non-monetary contributions carried out for the following beneficiaries, with the objective of contributing to the development, sustainability and financial and operational independence of those beneficiaries:</w:t>
      </w:r>
      <w:r w:rsidRPr="00A157EF">
        <w:t xml:space="preserve"> </w:t>
      </w:r>
    </w:p>
    <w:p w:rsidR="00F755D9" w:rsidRPr="004976AF" w:rsidRDefault="00F755D9" w:rsidP="00F755D9">
      <w:pPr>
        <w:pStyle w:val="FootnoteText"/>
        <w:ind w:left="284"/>
        <w:jc w:val="both"/>
        <w:rPr>
          <w:rFonts w:ascii="Tahoma" w:hAnsi="Tahoma" w:cs="Tahoma"/>
          <w:sz w:val="16"/>
          <w:szCs w:val="16"/>
        </w:rPr>
      </w:pPr>
      <w:r w:rsidRPr="002A7CDF">
        <w:rPr>
          <w:rFonts w:ascii="Tahoma" w:hAnsi="Tahoma" w:cs="Tahoma"/>
          <w:i/>
          <w:sz w:val="16"/>
          <w:szCs w:val="16"/>
        </w:rPr>
        <w:t>(a) Enterprise Development Contributions to Exempted</w:t>
      </w:r>
      <w:r>
        <w:rPr>
          <w:rFonts w:ascii="Tahoma" w:hAnsi="Tahoma" w:cs="Tahoma"/>
          <w:i/>
          <w:sz w:val="16"/>
          <w:szCs w:val="16"/>
        </w:rPr>
        <w:t xml:space="preserve"> </w:t>
      </w:r>
      <w:r w:rsidRPr="002A7CDF">
        <w:rPr>
          <w:rFonts w:ascii="Tahoma" w:hAnsi="Tahoma" w:cs="Tahoma"/>
          <w:i/>
          <w:sz w:val="16"/>
          <w:szCs w:val="16"/>
        </w:rPr>
        <w:t>Micro-Enterprises or Qualifying Small Enterprises</w:t>
      </w:r>
      <w:r>
        <w:rPr>
          <w:rFonts w:ascii="Tahoma" w:hAnsi="Tahoma" w:cs="Tahoma"/>
          <w:i/>
          <w:sz w:val="16"/>
          <w:szCs w:val="16"/>
        </w:rPr>
        <w:t xml:space="preserve"> </w:t>
      </w:r>
      <w:r w:rsidRPr="002A7CDF">
        <w:rPr>
          <w:rFonts w:ascii="Tahoma" w:hAnsi="Tahoma" w:cs="Tahoma"/>
          <w:i/>
          <w:sz w:val="16"/>
          <w:szCs w:val="16"/>
        </w:rPr>
        <w:t>which are at least 51% Black owned or at least 51%</w:t>
      </w:r>
      <w:r>
        <w:rPr>
          <w:rFonts w:ascii="Tahoma" w:hAnsi="Tahoma" w:cs="Tahoma"/>
          <w:i/>
          <w:sz w:val="16"/>
          <w:szCs w:val="16"/>
        </w:rPr>
        <w:t xml:space="preserve"> </w:t>
      </w:r>
      <w:r w:rsidRPr="002A7CDF">
        <w:rPr>
          <w:rFonts w:ascii="Tahoma" w:hAnsi="Tahoma" w:cs="Tahoma"/>
          <w:i/>
          <w:sz w:val="16"/>
          <w:szCs w:val="16"/>
        </w:rPr>
        <w:t>Black women owned;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D9" w:rsidRDefault="00F755D9">
    <w:pPr>
      <w:pStyle w:val="Header"/>
    </w:pPr>
    <w:r>
      <w:rPr>
        <w:noProof/>
        <w:color w:val="5F5F5F"/>
        <w:lang w:eastAsia="en-ZA"/>
      </w:rPr>
      <w:tab/>
    </w:r>
    <w:r>
      <w:rPr>
        <w:noProof/>
        <w:color w:val="5F5F5F"/>
        <w:lang w:eastAsia="en-Z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09" w:rsidRPr="004D1B2A" w:rsidRDefault="00AC6981" w:rsidP="000F49CF">
    <w:pPr>
      <w:pStyle w:val="TransnetNormal"/>
      <w:tabs>
        <w:tab w:val="right" w:pos="9072"/>
      </w:tabs>
      <w:spacing w:line="240" w:lineRule="auto"/>
      <w:ind w:left="0"/>
      <w:rPr>
        <w:color w:val="404040"/>
        <w:sz w:val="16"/>
        <w:szCs w:val="16"/>
      </w:rPr>
    </w:pPr>
    <w:r w:rsidRPr="00724637">
      <w:rPr>
        <w:rFonts w:ascii="Arial" w:hAnsi="Arial" w:cs="Arial"/>
        <w:color w:val="404040"/>
        <w:sz w:val="16"/>
        <w:szCs w:val="16"/>
      </w:rPr>
      <w:t xml:space="preserve">South African Airways RFP No </w:t>
    </w:r>
    <w:r w:rsidR="007F25BF" w:rsidRPr="007F25BF">
      <w:rPr>
        <w:color w:val="404040"/>
        <w:sz w:val="16"/>
        <w:szCs w:val="16"/>
      </w:rPr>
      <w:t>GSM 039/16</w:t>
    </w:r>
  </w:p>
  <w:p w:rsidR="00834409" w:rsidRPr="004D1B2A" w:rsidRDefault="001E1308" w:rsidP="000F49CF">
    <w:pPr>
      <w:pStyle w:val="TransnetNormal"/>
      <w:tabs>
        <w:tab w:val="right" w:pos="9072"/>
      </w:tabs>
      <w:spacing w:line="240" w:lineRule="auto"/>
      <w:ind w:left="0"/>
      <w:rPr>
        <w:color w:val="404040"/>
        <w:sz w:val="16"/>
        <w:szCs w:val="16"/>
      </w:rPr>
    </w:pPr>
  </w:p>
  <w:p w:rsidR="00834409" w:rsidRDefault="001E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31B"/>
    <w:multiLevelType w:val="hybridMultilevel"/>
    <w:tmpl w:val="55BEC61E"/>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02126C"/>
    <w:multiLevelType w:val="hybridMultilevel"/>
    <w:tmpl w:val="B39259A2"/>
    <w:lvl w:ilvl="0" w:tplc="CEDED042">
      <w:start w:val="1"/>
      <w:numFmt w:val="bullet"/>
      <w:lvlText w:val=""/>
      <w:lvlJc w:val="left"/>
      <w:pPr>
        <w:ind w:left="720" w:hanging="360"/>
      </w:pPr>
      <w:rPr>
        <w:rFonts w:ascii="Symbol" w:hAnsi="Symbol" w:hint="default"/>
      </w:rPr>
    </w:lvl>
    <w:lvl w:ilvl="1" w:tplc="30C2DE0E" w:tentative="1">
      <w:start w:val="1"/>
      <w:numFmt w:val="bullet"/>
      <w:lvlText w:val="o"/>
      <w:lvlJc w:val="left"/>
      <w:pPr>
        <w:ind w:left="1440" w:hanging="360"/>
      </w:pPr>
      <w:rPr>
        <w:rFonts w:ascii="Courier New" w:hAnsi="Courier New" w:cs="Courier New" w:hint="default"/>
      </w:rPr>
    </w:lvl>
    <w:lvl w:ilvl="2" w:tplc="5BB6F164" w:tentative="1">
      <w:start w:val="1"/>
      <w:numFmt w:val="bullet"/>
      <w:lvlText w:val=""/>
      <w:lvlJc w:val="left"/>
      <w:pPr>
        <w:ind w:left="2160" w:hanging="360"/>
      </w:pPr>
      <w:rPr>
        <w:rFonts w:ascii="Wingdings" w:hAnsi="Wingdings" w:hint="default"/>
      </w:rPr>
    </w:lvl>
    <w:lvl w:ilvl="3" w:tplc="4BAC9322" w:tentative="1">
      <w:start w:val="1"/>
      <w:numFmt w:val="bullet"/>
      <w:lvlText w:val=""/>
      <w:lvlJc w:val="left"/>
      <w:pPr>
        <w:ind w:left="2880" w:hanging="360"/>
      </w:pPr>
      <w:rPr>
        <w:rFonts w:ascii="Symbol" w:hAnsi="Symbol" w:hint="default"/>
      </w:rPr>
    </w:lvl>
    <w:lvl w:ilvl="4" w:tplc="0FB6F544" w:tentative="1">
      <w:start w:val="1"/>
      <w:numFmt w:val="bullet"/>
      <w:lvlText w:val="o"/>
      <w:lvlJc w:val="left"/>
      <w:pPr>
        <w:ind w:left="3600" w:hanging="360"/>
      </w:pPr>
      <w:rPr>
        <w:rFonts w:ascii="Courier New" w:hAnsi="Courier New" w:cs="Courier New" w:hint="default"/>
      </w:rPr>
    </w:lvl>
    <w:lvl w:ilvl="5" w:tplc="E884BCBA" w:tentative="1">
      <w:start w:val="1"/>
      <w:numFmt w:val="bullet"/>
      <w:lvlText w:val=""/>
      <w:lvlJc w:val="left"/>
      <w:pPr>
        <w:ind w:left="4320" w:hanging="360"/>
      </w:pPr>
      <w:rPr>
        <w:rFonts w:ascii="Wingdings" w:hAnsi="Wingdings" w:hint="default"/>
      </w:rPr>
    </w:lvl>
    <w:lvl w:ilvl="6" w:tplc="D8388B76" w:tentative="1">
      <w:start w:val="1"/>
      <w:numFmt w:val="bullet"/>
      <w:lvlText w:val=""/>
      <w:lvlJc w:val="left"/>
      <w:pPr>
        <w:ind w:left="5040" w:hanging="360"/>
      </w:pPr>
      <w:rPr>
        <w:rFonts w:ascii="Symbol" w:hAnsi="Symbol" w:hint="default"/>
      </w:rPr>
    </w:lvl>
    <w:lvl w:ilvl="7" w:tplc="94E0FC4C" w:tentative="1">
      <w:start w:val="1"/>
      <w:numFmt w:val="bullet"/>
      <w:lvlText w:val="o"/>
      <w:lvlJc w:val="left"/>
      <w:pPr>
        <w:ind w:left="5760" w:hanging="360"/>
      </w:pPr>
      <w:rPr>
        <w:rFonts w:ascii="Courier New" w:hAnsi="Courier New" w:cs="Courier New" w:hint="default"/>
      </w:rPr>
    </w:lvl>
    <w:lvl w:ilvl="8" w:tplc="B32E9196" w:tentative="1">
      <w:start w:val="1"/>
      <w:numFmt w:val="bullet"/>
      <w:lvlText w:val=""/>
      <w:lvlJc w:val="left"/>
      <w:pPr>
        <w:ind w:left="6480" w:hanging="360"/>
      </w:pPr>
      <w:rPr>
        <w:rFonts w:ascii="Wingdings" w:hAnsi="Wingdings" w:hint="default"/>
      </w:rPr>
    </w:lvl>
  </w:abstractNum>
  <w:abstractNum w:abstractNumId="2">
    <w:nsid w:val="249E6B0C"/>
    <w:multiLevelType w:val="hybridMultilevel"/>
    <w:tmpl w:val="12E8D514"/>
    <w:lvl w:ilvl="0" w:tplc="ED9E6A24">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2B33F4F"/>
    <w:multiLevelType w:val="hybridMultilevel"/>
    <w:tmpl w:val="7C2E68FA"/>
    <w:lvl w:ilvl="0" w:tplc="5644F5A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37D072AE"/>
    <w:multiLevelType w:val="hybridMultilevel"/>
    <w:tmpl w:val="B854F784"/>
    <w:lvl w:ilvl="0" w:tplc="E4D696DE">
      <w:start w:val="1"/>
      <w:numFmt w:val="bullet"/>
      <w:lvlText w:val="o"/>
      <w:lvlJc w:val="left"/>
      <w:pPr>
        <w:ind w:left="720" w:hanging="360"/>
      </w:pPr>
      <w:rPr>
        <w:rFonts w:ascii="Courier New" w:hAnsi="Courier New" w:cs="Courier New" w:hint="default"/>
      </w:rPr>
    </w:lvl>
    <w:lvl w:ilvl="1" w:tplc="5A40CF9C" w:tentative="1">
      <w:start w:val="1"/>
      <w:numFmt w:val="bullet"/>
      <w:lvlText w:val="o"/>
      <w:lvlJc w:val="left"/>
      <w:pPr>
        <w:ind w:left="1440" w:hanging="360"/>
      </w:pPr>
      <w:rPr>
        <w:rFonts w:ascii="Courier New" w:hAnsi="Courier New" w:cs="Courier New" w:hint="default"/>
      </w:rPr>
    </w:lvl>
    <w:lvl w:ilvl="2" w:tplc="34169B84" w:tentative="1">
      <w:start w:val="1"/>
      <w:numFmt w:val="bullet"/>
      <w:lvlText w:val=""/>
      <w:lvlJc w:val="left"/>
      <w:pPr>
        <w:ind w:left="2160" w:hanging="360"/>
      </w:pPr>
      <w:rPr>
        <w:rFonts w:ascii="Wingdings" w:hAnsi="Wingdings" w:hint="default"/>
      </w:rPr>
    </w:lvl>
    <w:lvl w:ilvl="3" w:tplc="8BB658FE" w:tentative="1">
      <w:start w:val="1"/>
      <w:numFmt w:val="bullet"/>
      <w:lvlText w:val=""/>
      <w:lvlJc w:val="left"/>
      <w:pPr>
        <w:ind w:left="2880" w:hanging="360"/>
      </w:pPr>
      <w:rPr>
        <w:rFonts w:ascii="Symbol" w:hAnsi="Symbol" w:hint="default"/>
      </w:rPr>
    </w:lvl>
    <w:lvl w:ilvl="4" w:tplc="66565E5A" w:tentative="1">
      <w:start w:val="1"/>
      <w:numFmt w:val="bullet"/>
      <w:lvlText w:val="o"/>
      <w:lvlJc w:val="left"/>
      <w:pPr>
        <w:ind w:left="3600" w:hanging="360"/>
      </w:pPr>
      <w:rPr>
        <w:rFonts w:ascii="Courier New" w:hAnsi="Courier New" w:cs="Courier New" w:hint="default"/>
      </w:rPr>
    </w:lvl>
    <w:lvl w:ilvl="5" w:tplc="31BC6940" w:tentative="1">
      <w:start w:val="1"/>
      <w:numFmt w:val="bullet"/>
      <w:lvlText w:val=""/>
      <w:lvlJc w:val="left"/>
      <w:pPr>
        <w:ind w:left="4320" w:hanging="360"/>
      </w:pPr>
      <w:rPr>
        <w:rFonts w:ascii="Wingdings" w:hAnsi="Wingdings" w:hint="default"/>
      </w:rPr>
    </w:lvl>
    <w:lvl w:ilvl="6" w:tplc="1EE8F2CE" w:tentative="1">
      <w:start w:val="1"/>
      <w:numFmt w:val="bullet"/>
      <w:lvlText w:val=""/>
      <w:lvlJc w:val="left"/>
      <w:pPr>
        <w:ind w:left="5040" w:hanging="360"/>
      </w:pPr>
      <w:rPr>
        <w:rFonts w:ascii="Symbol" w:hAnsi="Symbol" w:hint="default"/>
      </w:rPr>
    </w:lvl>
    <w:lvl w:ilvl="7" w:tplc="7974F3A2" w:tentative="1">
      <w:start w:val="1"/>
      <w:numFmt w:val="bullet"/>
      <w:lvlText w:val="o"/>
      <w:lvlJc w:val="left"/>
      <w:pPr>
        <w:ind w:left="5760" w:hanging="360"/>
      </w:pPr>
      <w:rPr>
        <w:rFonts w:ascii="Courier New" w:hAnsi="Courier New" w:cs="Courier New" w:hint="default"/>
      </w:rPr>
    </w:lvl>
    <w:lvl w:ilvl="8" w:tplc="4A4CB11C" w:tentative="1">
      <w:start w:val="1"/>
      <w:numFmt w:val="bullet"/>
      <w:lvlText w:val=""/>
      <w:lvlJc w:val="left"/>
      <w:pPr>
        <w:ind w:left="6480" w:hanging="360"/>
      </w:pPr>
      <w:rPr>
        <w:rFonts w:ascii="Wingdings" w:hAnsi="Wingdings" w:hint="default"/>
      </w:rPr>
    </w:lvl>
  </w:abstractNum>
  <w:abstractNum w:abstractNumId="5">
    <w:nsid w:val="3EEB7CC3"/>
    <w:multiLevelType w:val="hybridMultilevel"/>
    <w:tmpl w:val="0BD065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F60016"/>
    <w:multiLevelType w:val="hybridMultilevel"/>
    <w:tmpl w:val="6424282E"/>
    <w:lvl w:ilvl="0" w:tplc="F1807662">
      <w:start w:val="1"/>
      <w:numFmt w:val="decimal"/>
      <w:lvlText w:val="%1."/>
      <w:lvlJc w:val="left"/>
      <w:pPr>
        <w:ind w:left="644"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C9E1D46"/>
    <w:multiLevelType w:val="hybridMultilevel"/>
    <w:tmpl w:val="7C867E36"/>
    <w:lvl w:ilvl="0" w:tplc="1C090017">
      <w:start w:val="1"/>
      <w:numFmt w:val="bullet"/>
      <w:lvlText w:val="o"/>
      <w:lvlJc w:val="left"/>
      <w:pPr>
        <w:ind w:left="720" w:hanging="360"/>
      </w:pPr>
      <w:rPr>
        <w:rFonts w:ascii="Courier New" w:hAnsi="Courier New" w:cs="Courier New"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8">
    <w:nsid w:val="59CF1179"/>
    <w:multiLevelType w:val="multilevel"/>
    <w:tmpl w:val="1C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5FF9108E"/>
    <w:multiLevelType w:val="hybridMultilevel"/>
    <w:tmpl w:val="7D689B86"/>
    <w:lvl w:ilvl="0" w:tplc="D9EEFAA0">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
    <w:nsid w:val="75DD6834"/>
    <w:multiLevelType w:val="hybridMultilevel"/>
    <w:tmpl w:val="C5B8D452"/>
    <w:lvl w:ilvl="0" w:tplc="1C090001">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5"/>
  </w:num>
  <w:num w:numId="6">
    <w:abstractNumId w:val="8"/>
  </w:num>
  <w:num w:numId="7">
    <w:abstractNumId w:val="1"/>
  </w:num>
  <w:num w:numId="8">
    <w:abstractNumId w:val="10"/>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D9"/>
    <w:rsid w:val="0001728A"/>
    <w:rsid w:val="0002319B"/>
    <w:rsid w:val="0005356E"/>
    <w:rsid w:val="001A5EE7"/>
    <w:rsid w:val="001E1308"/>
    <w:rsid w:val="001F233C"/>
    <w:rsid w:val="003576F9"/>
    <w:rsid w:val="003A29F9"/>
    <w:rsid w:val="00510D8B"/>
    <w:rsid w:val="00774276"/>
    <w:rsid w:val="007F25BF"/>
    <w:rsid w:val="007F350C"/>
    <w:rsid w:val="00960DDB"/>
    <w:rsid w:val="00A84C64"/>
    <w:rsid w:val="00AC6981"/>
    <w:rsid w:val="00C915BC"/>
    <w:rsid w:val="00CE393C"/>
    <w:rsid w:val="00F755D9"/>
    <w:rsid w:val="00F977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5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D9"/>
    <w:rPr>
      <w:sz w:val="20"/>
      <w:szCs w:val="20"/>
    </w:rPr>
  </w:style>
  <w:style w:type="character" w:styleId="FootnoteReference">
    <w:name w:val="footnote reference"/>
    <w:uiPriority w:val="99"/>
    <w:unhideWhenUsed/>
    <w:rsid w:val="00F755D9"/>
    <w:rPr>
      <w:vertAlign w:val="superscript"/>
    </w:rPr>
  </w:style>
  <w:style w:type="paragraph" w:styleId="Header">
    <w:name w:val="header"/>
    <w:basedOn w:val="Normal"/>
    <w:link w:val="HeaderChar"/>
    <w:uiPriority w:val="99"/>
    <w:unhideWhenUsed/>
    <w:rsid w:val="00F755D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F755D9"/>
    <w:rPr>
      <w:rFonts w:ascii="Calibri" w:eastAsia="Calibri" w:hAnsi="Calibri" w:cs="Times New Roman"/>
    </w:rPr>
  </w:style>
  <w:style w:type="paragraph" w:customStyle="1" w:styleId="TransnetNormal">
    <w:name w:val="Transnet Normal"/>
    <w:rsid w:val="00F755D9"/>
    <w:pPr>
      <w:spacing w:after="0" w:line="360" w:lineRule="auto"/>
      <w:ind w:left="567"/>
      <w:jc w:val="both"/>
    </w:pPr>
    <w:rPr>
      <w:rFonts w:ascii="Tahoma" w:eastAsia="Times New Roman" w:hAnsi="Tahoma" w:cs="Times New Roman"/>
      <w:sz w:val="18"/>
      <w:szCs w:val="24"/>
      <w:lang w:val="en-GB" w:eastAsia="en-GB"/>
    </w:rPr>
  </w:style>
  <w:style w:type="paragraph" w:styleId="Footer">
    <w:name w:val="footer"/>
    <w:basedOn w:val="Normal"/>
    <w:link w:val="FooterChar"/>
    <w:uiPriority w:val="99"/>
    <w:unhideWhenUsed/>
    <w:rsid w:val="007F3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5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D9"/>
    <w:rPr>
      <w:sz w:val="20"/>
      <w:szCs w:val="20"/>
    </w:rPr>
  </w:style>
  <w:style w:type="character" w:styleId="FootnoteReference">
    <w:name w:val="footnote reference"/>
    <w:uiPriority w:val="99"/>
    <w:unhideWhenUsed/>
    <w:rsid w:val="00F755D9"/>
    <w:rPr>
      <w:vertAlign w:val="superscript"/>
    </w:rPr>
  </w:style>
  <w:style w:type="paragraph" w:styleId="Header">
    <w:name w:val="header"/>
    <w:basedOn w:val="Normal"/>
    <w:link w:val="HeaderChar"/>
    <w:uiPriority w:val="99"/>
    <w:unhideWhenUsed/>
    <w:rsid w:val="00F755D9"/>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F755D9"/>
    <w:rPr>
      <w:rFonts w:ascii="Calibri" w:eastAsia="Calibri" w:hAnsi="Calibri" w:cs="Times New Roman"/>
    </w:rPr>
  </w:style>
  <w:style w:type="paragraph" w:customStyle="1" w:styleId="TransnetNormal">
    <w:name w:val="Transnet Normal"/>
    <w:rsid w:val="00F755D9"/>
    <w:pPr>
      <w:spacing w:after="0" w:line="360" w:lineRule="auto"/>
      <w:ind w:left="567"/>
      <w:jc w:val="both"/>
    </w:pPr>
    <w:rPr>
      <w:rFonts w:ascii="Tahoma" w:eastAsia="Times New Roman" w:hAnsi="Tahoma" w:cs="Times New Roman"/>
      <w:sz w:val="18"/>
      <w:szCs w:val="24"/>
      <w:lang w:val="en-GB" w:eastAsia="en-GB"/>
    </w:rPr>
  </w:style>
  <w:style w:type="paragraph" w:styleId="Footer">
    <w:name w:val="footer"/>
    <w:basedOn w:val="Normal"/>
    <w:link w:val="FooterChar"/>
    <w:uiPriority w:val="99"/>
    <w:unhideWhenUsed/>
    <w:rsid w:val="007F3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B8C3-8378-4F47-8EC0-CE2F89D3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African Airways</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Mookeletsi</dc:creator>
  <cp:lastModifiedBy>Melinda Marais (Procurement)</cp:lastModifiedBy>
  <cp:revision>2</cp:revision>
  <dcterms:created xsi:type="dcterms:W3CDTF">2016-05-31T09:35:00Z</dcterms:created>
  <dcterms:modified xsi:type="dcterms:W3CDTF">2016-05-31T09:35:00Z</dcterms:modified>
</cp:coreProperties>
</file>